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603C7" w14:textId="3FDD3B7F" w:rsidR="00B710D2" w:rsidRDefault="00B710D2" w:rsidP="00A661D4">
      <w:pPr>
        <w:pStyle w:val="Nadpisdokumentu"/>
        <w:pBdr>
          <w:bottom w:val="single" w:sz="4" w:space="1" w:color="auto"/>
        </w:pBdr>
        <w:spacing w:before="0" w:after="120" w:line="240" w:lineRule="auto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 xml:space="preserve">Příloha </w:t>
      </w:r>
      <w:r w:rsidR="00D36655">
        <w:rPr>
          <w:spacing w:val="-2"/>
          <w:sz w:val="32"/>
          <w:szCs w:val="32"/>
        </w:rPr>
        <w:t>2</w:t>
      </w:r>
    </w:p>
    <w:p w14:paraId="3CFBE4DF" w14:textId="77777777" w:rsidR="00C273E0" w:rsidRPr="00584532" w:rsidRDefault="00584532" w:rsidP="00A661D4">
      <w:pPr>
        <w:pStyle w:val="Nadpisdokumentu"/>
        <w:pBdr>
          <w:bottom w:val="single" w:sz="4" w:space="1" w:color="auto"/>
        </w:pBdr>
        <w:spacing w:before="0" w:after="120" w:line="240" w:lineRule="auto"/>
        <w:rPr>
          <w:spacing w:val="-2"/>
          <w:sz w:val="32"/>
          <w:szCs w:val="32"/>
        </w:rPr>
      </w:pPr>
      <w:r w:rsidRPr="00584532">
        <w:rPr>
          <w:spacing w:val="-2"/>
          <w:sz w:val="32"/>
          <w:szCs w:val="32"/>
        </w:rPr>
        <w:t>R</w:t>
      </w:r>
      <w:r w:rsidR="00E30A04" w:rsidRPr="00584532">
        <w:rPr>
          <w:spacing w:val="-2"/>
          <w:sz w:val="32"/>
          <w:szCs w:val="32"/>
        </w:rPr>
        <w:t xml:space="preserve">eakce TA ČR na připomínky RVVI </w:t>
      </w:r>
      <w:r w:rsidR="00E30A04" w:rsidRPr="00584532">
        <w:rPr>
          <w:spacing w:val="-2"/>
          <w:sz w:val="32"/>
          <w:szCs w:val="32"/>
        </w:rPr>
        <w:br/>
        <w:t xml:space="preserve"> k návrhu programu </w:t>
      </w:r>
      <w:r w:rsidR="00C273E0" w:rsidRPr="00584532">
        <w:rPr>
          <w:spacing w:val="-2"/>
          <w:sz w:val="32"/>
          <w:szCs w:val="32"/>
        </w:rPr>
        <w:t>ÉTA</w:t>
      </w:r>
      <w:r w:rsidR="00E30A04" w:rsidRPr="00584532">
        <w:rPr>
          <w:spacing w:val="-2"/>
          <w:sz w:val="32"/>
          <w:szCs w:val="32"/>
        </w:rPr>
        <w:t xml:space="preserve"> – </w:t>
      </w:r>
      <w:r w:rsidR="00C273E0" w:rsidRPr="00584532">
        <w:rPr>
          <w:spacing w:val="-2"/>
          <w:sz w:val="32"/>
          <w:szCs w:val="32"/>
        </w:rPr>
        <w:t>květen</w:t>
      </w:r>
      <w:r w:rsidR="00E30A04" w:rsidRPr="00584532">
        <w:rPr>
          <w:spacing w:val="-2"/>
          <w:sz w:val="32"/>
          <w:szCs w:val="32"/>
        </w:rPr>
        <w:t xml:space="preserve"> 2016</w:t>
      </w:r>
    </w:p>
    <w:p w14:paraId="268805D2" w14:textId="77777777" w:rsidR="00BE2BEA" w:rsidRPr="00584532" w:rsidRDefault="00BE2BEA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Cambria" w:cs="Cambria"/>
          <w:color w:val="000000"/>
          <w:spacing w:val="-2"/>
          <w:u w:val="single"/>
          <w:lang w:eastAsia="cs-CZ"/>
        </w:rPr>
        <w:t xml:space="preserve">Časová osa programu </w:t>
      </w:r>
      <w:r w:rsidR="002A72A7">
        <w:rPr>
          <w:rFonts w:eastAsia="Cambria" w:cs="Cambria"/>
          <w:color w:val="000000"/>
          <w:spacing w:val="-2"/>
          <w:u w:val="single"/>
          <w:lang w:eastAsia="cs-CZ"/>
        </w:rPr>
        <w:t>ÉTA</w:t>
      </w:r>
      <w:r w:rsidRPr="00584532">
        <w:rPr>
          <w:rFonts w:eastAsia="Cambria" w:cs="Cambria"/>
          <w:color w:val="000000"/>
          <w:spacing w:val="-2"/>
          <w:u w:val="single"/>
          <w:lang w:eastAsia="cs-CZ"/>
        </w:rPr>
        <w:t>:</w:t>
      </w:r>
    </w:p>
    <w:p w14:paraId="4B5415B7" w14:textId="0B8C9CB5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Na 315. Zasedání RVVI dne 6.</w:t>
      </w:r>
      <w:r w:rsidR="00422CF8">
        <w:rPr>
          <w:rFonts w:eastAsia="Arial" w:cs="Arial"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color w:val="000000"/>
          <w:spacing w:val="-2"/>
          <w:lang w:eastAsia="cs-CZ"/>
        </w:rPr>
        <w:t>5.</w:t>
      </w:r>
      <w:r w:rsidR="00422CF8">
        <w:rPr>
          <w:rFonts w:eastAsia="Arial" w:cs="Arial"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color w:val="000000"/>
          <w:spacing w:val="-2"/>
          <w:lang w:eastAsia="cs-CZ"/>
        </w:rPr>
        <w:t>2016 byl projednán návrh programu ÉTA zaslaný dopisem 3. března 2016 č. j. TACR/62-1/2016. Dopisem dne 6.</w:t>
      </w:r>
      <w:r w:rsidR="00422CF8">
        <w:rPr>
          <w:rFonts w:eastAsia="Arial" w:cs="Arial"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color w:val="000000"/>
          <w:spacing w:val="-2"/>
          <w:lang w:eastAsia="cs-CZ"/>
        </w:rPr>
        <w:t>5.</w:t>
      </w:r>
      <w:r w:rsidR="00422CF8">
        <w:rPr>
          <w:rFonts w:eastAsia="Arial" w:cs="Arial"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color w:val="000000"/>
          <w:spacing w:val="-2"/>
          <w:lang w:eastAsia="cs-CZ"/>
        </w:rPr>
        <w:t>2016 Čj.: 4800 /2016-OKP bylo zasláno Stanovi</w:t>
      </w:r>
      <w:r w:rsidR="002A72A7">
        <w:rPr>
          <w:rFonts w:eastAsia="Arial" w:cs="Arial"/>
          <w:color w:val="000000"/>
          <w:spacing w:val="-2"/>
          <w:lang w:eastAsia="cs-CZ"/>
        </w:rPr>
        <w:t>sko RVVI k</w:t>
      </w:r>
      <w:r w:rsidR="0021133A">
        <w:rPr>
          <w:rFonts w:eastAsia="Arial" w:cs="Arial"/>
          <w:color w:val="000000"/>
          <w:spacing w:val="-2"/>
          <w:lang w:eastAsia="cs-CZ"/>
        </w:rPr>
        <w:t> </w:t>
      </w:r>
      <w:r w:rsidR="002A72A7">
        <w:rPr>
          <w:rFonts w:eastAsia="Arial" w:cs="Arial"/>
          <w:color w:val="000000"/>
          <w:spacing w:val="-2"/>
          <w:lang w:eastAsia="cs-CZ"/>
        </w:rPr>
        <w:t>návrhu programu ÉTA</w:t>
      </w:r>
      <w:r w:rsidRPr="00584532">
        <w:rPr>
          <w:rFonts w:eastAsia="Arial" w:cs="Arial"/>
          <w:color w:val="000000"/>
          <w:spacing w:val="-2"/>
          <w:lang w:eastAsia="cs-CZ"/>
        </w:rPr>
        <w:t>.</w:t>
      </w:r>
    </w:p>
    <w:p w14:paraId="73D1F1CE" w14:textId="77777777" w:rsidR="00BE2BEA" w:rsidRPr="00584532" w:rsidRDefault="00BE2BEA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Cambria" w:cs="Cambria"/>
          <w:color w:val="000000"/>
          <w:spacing w:val="-2"/>
          <w:sz w:val="24"/>
          <w:szCs w:val="24"/>
          <w:u w:val="single"/>
          <w:lang w:eastAsia="cs-CZ"/>
        </w:rPr>
        <w:t>Rozbor zásadních připomínek RVVI k materiálu:</w:t>
      </w:r>
    </w:p>
    <w:p w14:paraId="5836745B" w14:textId="77777777" w:rsidR="00BE2BEA" w:rsidRPr="00584532" w:rsidRDefault="00C273E0" w:rsidP="00DD2DAB">
      <w:pPr>
        <w:pStyle w:val="slovn"/>
      </w:pPr>
      <w:r w:rsidRPr="00584532">
        <w:t>K části 5 - Doba trvání Programu</w:t>
      </w:r>
    </w:p>
    <w:p w14:paraId="3C1A9F1A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Cambria" w:cs="Cambria"/>
          <w:color w:val="000000"/>
          <w:spacing w:val="-2"/>
          <w:lang w:eastAsia="cs-CZ"/>
        </w:rPr>
      </w:pPr>
      <w:r w:rsidRPr="00584532">
        <w:rPr>
          <w:rFonts w:eastAsia="Cambria" w:cs="Cambria"/>
          <w:color w:val="000000"/>
          <w:spacing w:val="-2"/>
          <w:lang w:eastAsia="cs-CZ"/>
        </w:rPr>
        <w:t>TA ČR udává jako předpokládanou dobu trvání Programu 10 let (2018 – 2027), tj. 10 let.</w:t>
      </w:r>
    </w:p>
    <w:p w14:paraId="64566C54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Cambria" w:cs="Cambria"/>
          <w:color w:val="000000"/>
          <w:spacing w:val="-2"/>
          <w:lang w:eastAsia="cs-CZ"/>
        </w:rPr>
      </w:pPr>
      <w:r w:rsidRPr="00584532">
        <w:rPr>
          <w:rFonts w:eastAsia="Cambria" w:cs="Cambria"/>
          <w:color w:val="000000"/>
          <w:spacing w:val="-2"/>
          <w:lang w:eastAsia="cs-CZ"/>
        </w:rPr>
        <w:t>Vzhledem k tomu, že Program je pokračováním dosud nevyhodnoceného programu OMEGA, Rada požaduje zkrácení doby trvání Programu na pět let a současně stanovit nejen minimální, ale i maximální dobu trvání projektů.</w:t>
      </w:r>
    </w:p>
    <w:p w14:paraId="6286C215" w14:textId="77777777" w:rsidR="00BE2BEA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Cambria" w:cs="Cambria"/>
          <w:color w:val="000000"/>
          <w:spacing w:val="-2"/>
          <w:lang w:eastAsia="cs-CZ"/>
        </w:rPr>
        <w:t>Požadavek na zkrácení doby trvání Programu koresponduje také s částí 6. návrhu kde se zmiňují rychle se měnící podmínky pro společenskovědní výzkum. Uvádí se: „Z důvodu světových trendů majících vliv na společenskou realitu a rychle se měnících podmínek se mohou výzvy pro aplikovaný společenskovědní a humanitní výzkum během trvání programu měnit, resp. může docházet k jejich upřesnění. Z tohoto důvodu umožní program v rámci stanovených cílů tematicky zaměřené veřejné soutěže a definování výzkumných témat řešitelskými týmy.</w:t>
      </w:r>
    </w:p>
    <w:p w14:paraId="66D08B39" w14:textId="72DA82A6" w:rsidR="00BE2BEA" w:rsidRPr="00584532" w:rsidRDefault="00BE2BEA" w:rsidP="00C273E0">
      <w:pPr>
        <w:spacing w:before="0" w:after="120" w:line="240" w:lineRule="auto"/>
        <w:jc w:val="both"/>
        <w:rPr>
          <w:rFonts w:eastAsia="Cambria" w:cs="Cambria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1E094D" w:rsidRPr="00584532">
        <w:rPr>
          <w:rFonts w:eastAsia="Cambria" w:cs="Cambria"/>
          <w:b/>
          <w:i/>
          <w:color w:val="000000"/>
          <w:spacing w:val="-2"/>
          <w:lang w:eastAsia="cs-CZ"/>
        </w:rPr>
        <w:t>akceptováno</w:t>
      </w:r>
      <w:r w:rsidR="00C273E0" w:rsidRPr="00584532">
        <w:rPr>
          <w:rFonts w:eastAsia="Cambria" w:cs="Cambria"/>
          <w:b/>
          <w:i/>
          <w:color w:val="000000"/>
          <w:spacing w:val="-2"/>
          <w:lang w:eastAsia="cs-CZ"/>
        </w:rPr>
        <w:t>, vysvětleno</w:t>
      </w:r>
    </w:p>
    <w:p w14:paraId="697A039D" w14:textId="3C8FC15E" w:rsidR="00CB32AF" w:rsidRPr="00584532" w:rsidRDefault="00442731" w:rsidP="00457BEE">
      <w:pPr>
        <w:spacing w:before="0" w:after="120" w:line="240" w:lineRule="auto"/>
        <w:ind w:left="708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>Doba trvání programu byla zkrácena na 6 let (2018 – 202</w:t>
      </w:r>
      <w:r w:rsidR="00465031">
        <w:rPr>
          <w:rFonts w:eastAsia="Arial" w:cs="Arial"/>
          <w:i/>
          <w:color w:val="000000"/>
          <w:spacing w:val="-2"/>
          <w:lang w:eastAsia="cs-CZ"/>
        </w:rPr>
        <w:t>3</w:t>
      </w:r>
      <w:r>
        <w:rPr>
          <w:rFonts w:eastAsia="Arial" w:cs="Arial"/>
          <w:i/>
          <w:color w:val="000000"/>
          <w:spacing w:val="-2"/>
          <w:lang w:eastAsia="cs-CZ"/>
        </w:rPr>
        <w:t xml:space="preserve">). </w:t>
      </w:r>
      <w:r w:rsidRPr="00442731">
        <w:rPr>
          <w:rFonts w:eastAsia="Arial" w:cs="Arial"/>
          <w:i/>
          <w:color w:val="000000"/>
          <w:spacing w:val="-2"/>
          <w:lang w:eastAsia="cs-CZ"/>
        </w:rPr>
        <w:t>V letech 2024 – 2025 budou probíhat aktivity související s vyhodnocením programu po ukončení všech projektů včetně období implementace dosažených výstupů programu do praxe.</w:t>
      </w:r>
    </w:p>
    <w:p w14:paraId="08E98C2F" w14:textId="77777777" w:rsidR="00422CF8" w:rsidRDefault="00392E8A" w:rsidP="00457BEE">
      <w:pPr>
        <w:spacing w:before="0" w:after="120" w:line="240" w:lineRule="auto"/>
        <w:ind w:left="708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>V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 xml:space="preserve">ýstupy průběžného vyhodnocení předcházejícího programu OMEGA byly využity při </w:t>
      </w:r>
      <w:r w:rsidR="00B96F98" w:rsidRPr="00584532">
        <w:rPr>
          <w:rFonts w:eastAsia="Arial" w:cs="Arial"/>
          <w:i/>
          <w:color w:val="000000"/>
          <w:spacing w:val="-2"/>
          <w:lang w:eastAsia="cs-CZ"/>
        </w:rPr>
        <w:t>tvorbě návrhu programu ÉTA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 xml:space="preserve">, a to především </w:t>
      </w:r>
      <w:r w:rsidR="00B96F98" w:rsidRPr="00584532">
        <w:rPr>
          <w:rFonts w:eastAsia="Arial" w:cs="Arial"/>
          <w:i/>
          <w:color w:val="000000"/>
          <w:spacing w:val="-2"/>
          <w:lang w:eastAsia="cs-CZ"/>
        </w:rPr>
        <w:t xml:space="preserve">z hlediska 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 xml:space="preserve">formulace </w:t>
      </w:r>
      <w:r w:rsidR="00B96F98" w:rsidRPr="00584532">
        <w:rPr>
          <w:rFonts w:eastAsia="Arial" w:cs="Arial"/>
          <w:i/>
          <w:color w:val="000000"/>
          <w:spacing w:val="-2"/>
          <w:lang w:eastAsia="cs-CZ"/>
        </w:rPr>
        <w:t xml:space="preserve">jeho vize 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>a</w:t>
      </w:r>
      <w:r w:rsidR="00B96F98" w:rsidRPr="00584532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 xml:space="preserve">pro optimalizaci </w:t>
      </w:r>
      <w:r w:rsidR="00B96F98" w:rsidRPr="00584532">
        <w:rPr>
          <w:rFonts w:eastAsia="Arial" w:cs="Arial"/>
          <w:i/>
          <w:color w:val="000000"/>
          <w:spacing w:val="-2"/>
          <w:lang w:eastAsia="cs-CZ"/>
        </w:rPr>
        <w:t xml:space="preserve">způsobu implementace s důrazem na maximalizaci využití výstupů podpořených projektů. </w:t>
      </w:r>
      <w:r w:rsidR="00422CF8">
        <w:rPr>
          <w:rFonts w:eastAsia="Arial" w:cs="Arial"/>
          <w:i/>
          <w:color w:val="000000"/>
          <w:spacing w:val="-2"/>
          <w:lang w:eastAsia="cs-CZ"/>
        </w:rPr>
        <w:t xml:space="preserve">Program OMEGA nemohl být dosud finálně vyhodnocen, protože stále běží. Program ÉTA má </w:t>
      </w:r>
      <w:r w:rsidR="00BF08F6">
        <w:rPr>
          <w:rFonts w:eastAsia="Arial" w:cs="Arial"/>
          <w:i/>
          <w:color w:val="000000"/>
          <w:spacing w:val="-2"/>
          <w:lang w:eastAsia="cs-CZ"/>
        </w:rPr>
        <w:t xml:space="preserve">bez časového výpadku </w:t>
      </w:r>
      <w:r w:rsidR="00597E11">
        <w:rPr>
          <w:rFonts w:eastAsia="Arial" w:cs="Arial"/>
          <w:i/>
          <w:color w:val="000000"/>
          <w:spacing w:val="-2"/>
          <w:lang w:eastAsia="cs-CZ"/>
        </w:rPr>
        <w:t>přímo</w:t>
      </w:r>
      <w:r w:rsidR="00422CF8">
        <w:rPr>
          <w:rFonts w:eastAsia="Arial" w:cs="Arial"/>
          <w:i/>
          <w:color w:val="000000"/>
          <w:spacing w:val="-2"/>
          <w:lang w:eastAsia="cs-CZ"/>
        </w:rPr>
        <w:t xml:space="preserve"> navázat na </w:t>
      </w:r>
      <w:r w:rsidR="00597E11">
        <w:rPr>
          <w:rFonts w:eastAsia="Arial" w:cs="Arial"/>
          <w:i/>
          <w:color w:val="000000"/>
          <w:spacing w:val="-2"/>
          <w:lang w:eastAsia="cs-CZ"/>
        </w:rPr>
        <w:t>program</w:t>
      </w:r>
      <w:r w:rsidR="00422CF8">
        <w:rPr>
          <w:rFonts w:eastAsia="Arial" w:cs="Arial"/>
          <w:i/>
          <w:color w:val="000000"/>
          <w:spacing w:val="-2"/>
          <w:lang w:eastAsia="cs-CZ"/>
        </w:rPr>
        <w:t xml:space="preserve"> OMEGA.</w:t>
      </w:r>
    </w:p>
    <w:p w14:paraId="02B39B01" w14:textId="3016749F" w:rsidR="00422CF8" w:rsidRPr="00584532" w:rsidRDefault="00CB32AF" w:rsidP="00457BEE">
      <w:pPr>
        <w:spacing w:before="0" w:after="120" w:line="240" w:lineRule="auto"/>
        <w:ind w:left="708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Formulace programu je dostatečně obecná, aby dovolila pružně reagovat na rychle se měnící společenskou realitu. Po </w:t>
      </w:r>
      <w:r w:rsidR="00597E11">
        <w:rPr>
          <w:rFonts w:eastAsia="Arial" w:cs="Arial"/>
          <w:i/>
          <w:color w:val="000000"/>
          <w:spacing w:val="-2"/>
          <w:lang w:eastAsia="cs-CZ"/>
        </w:rPr>
        <w:t>dobu trvání programu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bude relevance programu zajištěna a) tematicky formulovanými veřejnými soutěžemi, </w:t>
      </w:r>
      <w:r w:rsidR="002A72A7">
        <w:rPr>
          <w:rFonts w:eastAsia="Arial" w:cs="Arial"/>
          <w:i/>
          <w:color w:val="000000"/>
          <w:spacing w:val="-2"/>
          <w:lang w:eastAsia="cs-CZ"/>
        </w:rPr>
        <w:t>kter</w:t>
      </w:r>
      <w:r w:rsidR="004E4F45">
        <w:rPr>
          <w:rFonts w:eastAsia="Arial" w:cs="Arial"/>
          <w:i/>
          <w:color w:val="000000"/>
          <w:spacing w:val="-2"/>
          <w:lang w:eastAsia="cs-CZ"/>
        </w:rPr>
        <w:t>é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budou </w:t>
      </w:r>
      <w:r w:rsidR="004E4F45">
        <w:rPr>
          <w:rFonts w:eastAsia="Arial" w:cs="Arial"/>
          <w:i/>
          <w:color w:val="000000"/>
          <w:spacing w:val="-2"/>
          <w:lang w:eastAsia="cs-CZ"/>
        </w:rPr>
        <w:t>využívat výstupů relevantních platforem zaměřených na společenské a humanitní vědy; b</w:t>
      </w:r>
      <w:r w:rsidRPr="00584532">
        <w:rPr>
          <w:rFonts w:eastAsia="Arial" w:cs="Arial"/>
          <w:i/>
          <w:color w:val="000000"/>
          <w:spacing w:val="-2"/>
          <w:lang w:eastAsia="cs-CZ"/>
        </w:rPr>
        <w:t>) umožněním formulovat návrhy projektů formou bottom up</w:t>
      </w:r>
      <w:r w:rsidR="002A72A7">
        <w:rPr>
          <w:rFonts w:eastAsia="Arial" w:cs="Arial"/>
          <w:i/>
          <w:color w:val="000000"/>
          <w:spacing w:val="-2"/>
          <w:lang w:eastAsia="cs-CZ"/>
        </w:rPr>
        <w:t xml:space="preserve"> výzkumnými týmy</w:t>
      </w:r>
      <w:r w:rsidR="0056483A">
        <w:rPr>
          <w:rFonts w:eastAsia="Arial" w:cs="Arial"/>
          <w:i/>
          <w:color w:val="000000"/>
          <w:spacing w:val="-2"/>
          <w:lang w:eastAsia="cs-CZ"/>
        </w:rPr>
        <w:t xml:space="preserve"> (jak již umožňuje předcházející program OMEGA)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. </w:t>
      </w:r>
      <w:r w:rsidR="00392E8A">
        <w:rPr>
          <w:rFonts w:eastAsia="Arial" w:cs="Arial"/>
          <w:i/>
          <w:color w:val="000000"/>
          <w:spacing w:val="-2"/>
          <w:lang w:eastAsia="cs-CZ"/>
        </w:rPr>
        <w:t>Navrhuje se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provést po </w:t>
      </w:r>
      <w:r w:rsidR="00442731">
        <w:rPr>
          <w:rFonts w:eastAsia="Arial" w:cs="Arial"/>
          <w:i/>
          <w:color w:val="000000"/>
          <w:spacing w:val="-2"/>
          <w:lang w:eastAsia="cs-CZ"/>
        </w:rPr>
        <w:t>třech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letech trvání programu jeho průběžné hodnocení</w:t>
      </w:r>
      <w:r w:rsidR="00422CF8">
        <w:rPr>
          <w:rFonts w:eastAsia="Arial" w:cs="Arial"/>
          <w:i/>
          <w:color w:val="000000"/>
          <w:spacing w:val="-2"/>
          <w:lang w:eastAsia="cs-CZ"/>
        </w:rPr>
        <w:t>,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a to promítnout do způsobu </w:t>
      </w:r>
      <w:r w:rsidR="00422CF8">
        <w:rPr>
          <w:rFonts w:eastAsia="Arial" w:cs="Arial"/>
          <w:i/>
          <w:color w:val="000000"/>
          <w:spacing w:val="-2"/>
          <w:lang w:eastAsia="cs-CZ"/>
        </w:rPr>
        <w:t xml:space="preserve">další 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implementace programu. </w:t>
      </w:r>
      <w:r w:rsidR="0088160D">
        <w:rPr>
          <w:rFonts w:eastAsia="Arial" w:cs="Arial"/>
          <w:i/>
          <w:color w:val="000000"/>
          <w:spacing w:val="-2"/>
          <w:lang w:eastAsia="cs-CZ"/>
        </w:rPr>
        <w:t>Průběžné hodnocení programu bude v samotném textu programu uvedeno.</w:t>
      </w:r>
    </w:p>
    <w:p w14:paraId="3A4BCE22" w14:textId="6838BBC8" w:rsidR="0056483A" w:rsidRDefault="00392E8A" w:rsidP="00C956F4">
      <w:pPr>
        <w:spacing w:before="0" w:after="120" w:line="240" w:lineRule="auto"/>
        <w:ind w:left="708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 xml:space="preserve"> Na </w:t>
      </w:r>
      <w:r w:rsidR="00422CF8">
        <w:rPr>
          <w:rFonts w:eastAsia="Arial" w:cs="Arial"/>
          <w:i/>
          <w:color w:val="000000"/>
          <w:spacing w:val="-2"/>
          <w:lang w:eastAsia="cs-CZ"/>
        </w:rPr>
        <w:t>základě této</w:t>
      </w:r>
      <w:r w:rsidR="001E094D" w:rsidRPr="00584532">
        <w:rPr>
          <w:rFonts w:eastAsia="Arial" w:cs="Arial"/>
          <w:i/>
          <w:color w:val="000000"/>
          <w:spacing w:val="-2"/>
          <w:lang w:eastAsia="cs-CZ"/>
        </w:rPr>
        <w:t xml:space="preserve"> připomínk</w:t>
      </w:r>
      <w:r w:rsidR="00422CF8">
        <w:rPr>
          <w:rFonts w:eastAsia="Arial" w:cs="Arial"/>
          <w:i/>
          <w:color w:val="000000"/>
          <w:spacing w:val="-2"/>
          <w:lang w:eastAsia="cs-CZ"/>
        </w:rPr>
        <w:t>y</w:t>
      </w:r>
      <w:r w:rsidR="001E094D" w:rsidRPr="00584532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>
        <w:rPr>
          <w:rFonts w:eastAsia="Arial" w:cs="Arial"/>
          <w:i/>
          <w:color w:val="000000"/>
          <w:spacing w:val="-2"/>
          <w:lang w:eastAsia="cs-CZ"/>
        </w:rPr>
        <w:t> bude dále</w:t>
      </w:r>
      <w:r w:rsidR="00422CF8">
        <w:rPr>
          <w:rFonts w:eastAsia="Arial" w:cs="Arial"/>
          <w:i/>
          <w:color w:val="000000"/>
          <w:spacing w:val="-2"/>
          <w:lang w:eastAsia="cs-CZ"/>
        </w:rPr>
        <w:t xml:space="preserve"> text programu </w:t>
      </w:r>
      <w:r>
        <w:rPr>
          <w:rFonts w:eastAsia="Arial" w:cs="Arial"/>
          <w:i/>
          <w:color w:val="000000"/>
          <w:spacing w:val="-2"/>
          <w:lang w:eastAsia="cs-CZ"/>
        </w:rPr>
        <w:t xml:space="preserve">upraven </w:t>
      </w:r>
      <w:r w:rsidR="00422CF8">
        <w:rPr>
          <w:rFonts w:eastAsia="Arial" w:cs="Arial"/>
          <w:i/>
          <w:color w:val="000000"/>
          <w:spacing w:val="-2"/>
          <w:lang w:eastAsia="cs-CZ"/>
        </w:rPr>
        <w:t>tak, že v něm nově bude uvedeno:</w:t>
      </w:r>
      <w:r w:rsidR="00CB32AF" w:rsidRPr="00584532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="00C956F4">
        <w:rPr>
          <w:rFonts w:eastAsia="Arial" w:cs="Arial"/>
          <w:i/>
          <w:color w:val="000000"/>
          <w:spacing w:val="-2"/>
          <w:lang w:eastAsia="cs-CZ"/>
        </w:rPr>
        <w:t>„</w:t>
      </w:r>
      <w:r w:rsidR="00C956F4" w:rsidRPr="00C956F4">
        <w:rPr>
          <w:rFonts w:eastAsia="Arial" w:cs="Arial"/>
          <w:i/>
          <w:color w:val="000000"/>
          <w:spacing w:val="-2"/>
          <w:lang w:eastAsia="cs-CZ"/>
        </w:rPr>
        <w:t>Minimální délka řešení projektů v tomto programu je stanovena na 12 měsíců, maximální doba řešení projektů se předpokládá do tří let. Přiměřenost délky trvání projektu vůči jeho cílům a výši podpory bude předm</w:t>
      </w:r>
      <w:r w:rsidR="0021133A">
        <w:rPr>
          <w:rFonts w:eastAsia="Arial" w:cs="Arial"/>
          <w:i/>
          <w:color w:val="000000"/>
          <w:spacing w:val="-2"/>
          <w:lang w:eastAsia="cs-CZ"/>
        </w:rPr>
        <w:t>ětem hodnocení návrhů projektů.“</w:t>
      </w:r>
    </w:p>
    <w:p w14:paraId="33CC79EE" w14:textId="092FAF8B" w:rsidR="00C273E0" w:rsidRPr="00DD2DAB" w:rsidRDefault="00C956F4" w:rsidP="00DD2DAB">
      <w:pPr>
        <w:pStyle w:val="slovn"/>
      </w:pPr>
      <w:r w:rsidRPr="00DD2DAB">
        <w:rPr>
          <w:rFonts w:eastAsia="Arial" w:cs="Arial"/>
          <w:i/>
        </w:rPr>
        <w:lastRenderedPageBreak/>
        <w:t>„</w:t>
      </w:r>
      <w:r w:rsidR="00C273E0" w:rsidRPr="00DD2DAB">
        <w:t>K částem 7. a 8. Cíl a odůvodnění</w:t>
      </w:r>
    </w:p>
    <w:p w14:paraId="466E6093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Rada požaduje konkrétněji formulovat cíle Programu se zřetelem k tomu, že cíle by měly být časově ohraničeny a měly by být vyhodnotitelné (tj. daných cílů by mělo být reálné dosáhnout za dobu řešení Programu), popřípadě, které z potřeb společnosti pomůže Program řešit – s odvoláním na zásadní koncepční dokumenty.</w:t>
      </w:r>
    </w:p>
    <w:p w14:paraId="137BBB53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88160D">
        <w:rPr>
          <w:rFonts w:eastAsia="Cambria" w:cs="Cambria"/>
          <w:b/>
          <w:i/>
          <w:color w:val="000000"/>
          <w:spacing w:val="-2"/>
          <w:lang w:eastAsia="cs-CZ"/>
        </w:rPr>
        <w:t xml:space="preserve">částečně </w:t>
      </w:r>
      <w:r w:rsidR="001E094D" w:rsidRPr="00584532">
        <w:rPr>
          <w:rFonts w:eastAsia="Cambria" w:cs="Cambria"/>
          <w:b/>
          <w:i/>
          <w:color w:val="000000"/>
          <w:spacing w:val="-2"/>
          <w:lang w:eastAsia="cs-CZ"/>
        </w:rPr>
        <w:t>akceptováno, vysvětleno</w:t>
      </w:r>
    </w:p>
    <w:p w14:paraId="0CCE236A" w14:textId="1A522549" w:rsidR="0088160D" w:rsidRDefault="0088160D" w:rsidP="00457BEE">
      <w:pPr>
        <w:spacing w:before="0" w:after="120" w:line="240" w:lineRule="auto"/>
        <w:ind w:left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>Cíl programu je časově ohraničen dobou realizace programu a zároveň je nastaven tak, aby byl vyhodnotitelný a aby jej bylo možné dosáhnout za dobu řešení programu.</w:t>
      </w:r>
      <w:r w:rsidR="0021133A">
        <w:rPr>
          <w:rFonts w:eastAsia="Arial" w:cs="Arial"/>
          <w:i/>
          <w:color w:val="000000"/>
          <w:spacing w:val="-2"/>
          <w:lang w:eastAsia="cs-CZ"/>
        </w:rPr>
        <w:t xml:space="preserve"> Program se odvolává a </w:t>
      </w:r>
      <w:r w:rsidR="004E4F45">
        <w:rPr>
          <w:rFonts w:eastAsia="Arial" w:cs="Arial"/>
          <w:i/>
          <w:color w:val="000000"/>
          <w:spacing w:val="-2"/>
          <w:lang w:eastAsia="cs-CZ"/>
        </w:rPr>
        <w:t xml:space="preserve">naplňuje tyto koncepční dokumenty: </w:t>
      </w:r>
    </w:p>
    <w:p w14:paraId="2F6D1C85" w14:textId="72F5A515" w:rsidR="004E4F45" w:rsidRPr="004E4F45" w:rsidRDefault="004E4F45" w:rsidP="004E4F45">
      <w:pPr>
        <w:pStyle w:val="Odstavecseseznamem"/>
        <w:numPr>
          <w:ilvl w:val="0"/>
          <w:numId w:val="14"/>
        </w:numPr>
        <w:spacing w:before="0" w:after="120" w:line="240" w:lineRule="auto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4E4F45">
        <w:rPr>
          <w:rFonts w:eastAsia="Arial" w:cs="Arial"/>
          <w:i/>
          <w:color w:val="000000"/>
          <w:spacing w:val="-2"/>
          <w:lang w:eastAsia="cs-CZ"/>
        </w:rPr>
        <w:t xml:space="preserve">Národní politika výzkumu, vývoje a inovací České republiky na léta 2016 – 2020 (dále jen NP VVI), schválena usnesením vlády České republiky ze dne 17. února 2016 č. 135, </w:t>
      </w:r>
    </w:p>
    <w:p w14:paraId="2BC2BD49" w14:textId="77777777" w:rsidR="004E4F45" w:rsidRDefault="004E4F45" w:rsidP="004E4F45">
      <w:pPr>
        <w:pStyle w:val="Odstavecseseznamem"/>
        <w:numPr>
          <w:ilvl w:val="0"/>
          <w:numId w:val="14"/>
        </w:numPr>
        <w:spacing w:before="0" w:after="120" w:line="240" w:lineRule="auto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4E4F45">
        <w:rPr>
          <w:rFonts w:eastAsia="Arial" w:cs="Arial"/>
          <w:i/>
          <w:color w:val="000000"/>
          <w:spacing w:val="-2"/>
          <w:lang w:eastAsia="cs-CZ"/>
        </w:rPr>
        <w:t>Národní priority orientovaného výzkumu, experimentálního vývoje a inovací, které byly přijaty usnesením vlády ze dne 19. července 2012 č. 552 (dále jen „NPOV“)  </w:t>
      </w:r>
    </w:p>
    <w:p w14:paraId="191DEABB" w14:textId="58851CDD" w:rsidR="004E4F45" w:rsidRPr="004E4F45" w:rsidRDefault="004E4F45" w:rsidP="004E4F45">
      <w:pPr>
        <w:pStyle w:val="Odstavecseseznamem"/>
        <w:numPr>
          <w:ilvl w:val="0"/>
          <w:numId w:val="14"/>
        </w:numPr>
        <w:spacing w:before="0" w:after="120" w:line="240" w:lineRule="auto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4E4F45">
        <w:rPr>
          <w:rFonts w:eastAsia="Arial" w:cs="Arial"/>
          <w:i/>
          <w:color w:val="000000"/>
          <w:spacing w:val="-2"/>
          <w:lang w:eastAsia="cs-CZ"/>
        </w:rPr>
        <w:t xml:space="preserve">Národní iniciativa Průmysl 4.0 (dále jen „NIP 4.0“), schválena usnesením vlády České republiky ze dne 24. </w:t>
      </w:r>
      <w:r w:rsidR="002314B8">
        <w:rPr>
          <w:rFonts w:eastAsia="Arial" w:cs="Arial"/>
          <w:i/>
          <w:color w:val="000000"/>
          <w:spacing w:val="-2"/>
          <w:lang w:eastAsia="cs-CZ"/>
        </w:rPr>
        <w:t>s</w:t>
      </w:r>
      <w:r w:rsidRPr="004E4F45">
        <w:rPr>
          <w:rFonts w:eastAsia="Arial" w:cs="Arial"/>
          <w:i/>
          <w:color w:val="000000"/>
          <w:spacing w:val="-2"/>
          <w:lang w:eastAsia="cs-CZ"/>
        </w:rPr>
        <w:t>rpna 2016 č. 729</w:t>
      </w:r>
      <w:r>
        <w:rPr>
          <w:rFonts w:eastAsia="Arial" w:cs="Arial"/>
          <w:i/>
          <w:color w:val="000000"/>
          <w:spacing w:val="-2"/>
          <w:lang w:eastAsia="cs-CZ"/>
        </w:rPr>
        <w:t>.</w:t>
      </w:r>
    </w:p>
    <w:p w14:paraId="101DB1CC" w14:textId="77777777" w:rsidR="00C273E0" w:rsidRPr="00584532" w:rsidRDefault="00C273E0" w:rsidP="001E094D">
      <w:pPr>
        <w:pStyle w:val="slovn"/>
        <w:rPr>
          <w:spacing w:val="-2"/>
        </w:rPr>
      </w:pPr>
      <w:r w:rsidRPr="00584532">
        <w:rPr>
          <w:spacing w:val="-2"/>
        </w:rPr>
        <w:t>K části 9. – Kritéria splnění cíle Programu</w:t>
      </w:r>
    </w:p>
    <w:p w14:paraId="5E3A8E2A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 xml:space="preserve">Rada poukazuje na nízký počet plánovaných podpořených projektů a od něj se odvíjející nízký počet dosažených aplikovaných výsledků a žádá o jejich navýšení. (Porovnání s předcházejícím programem OMEGA.) </w:t>
      </w:r>
    </w:p>
    <w:p w14:paraId="076CBDCC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DB6122" w:rsidRPr="00584532">
        <w:rPr>
          <w:rFonts w:eastAsia="Cambria" w:cs="Cambria"/>
          <w:b/>
          <w:i/>
          <w:color w:val="000000"/>
          <w:spacing w:val="-2"/>
          <w:lang w:eastAsia="cs-CZ"/>
        </w:rPr>
        <w:t>částečně akceptováno, vysvětleno</w:t>
      </w:r>
    </w:p>
    <w:p w14:paraId="71B9FB18" w14:textId="698B1EF7" w:rsidR="00DB6122" w:rsidRPr="00584532" w:rsidRDefault="00DB6122" w:rsidP="00584532">
      <w:pPr>
        <w:spacing w:before="0" w:after="120" w:line="240" w:lineRule="auto"/>
        <w:ind w:left="426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584532">
        <w:rPr>
          <w:rFonts w:eastAsia="Arial" w:cs="Arial"/>
          <w:i/>
          <w:color w:val="000000"/>
          <w:spacing w:val="-2"/>
          <w:lang w:eastAsia="cs-CZ"/>
        </w:rPr>
        <w:t>Vzhledem k tomu, že program ÉTA a program NAKI Ministerstva kultury</w:t>
      </w:r>
      <w:r w:rsidRPr="00584532">
        <w:rPr>
          <w:rStyle w:val="Znakapoznpodarou"/>
          <w:rFonts w:eastAsia="Arial" w:cs="Arial"/>
          <w:i/>
          <w:color w:val="000000"/>
          <w:spacing w:val="-2"/>
          <w:lang w:eastAsia="cs-CZ"/>
        </w:rPr>
        <w:footnoteReference w:id="1"/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 společně naplňují Společenské a kulturní výzvy formulované v NPOV (Priorita 4) a s ohledem na obdobné alokace podpory programů považuje TA ČR počet výstupů za dostatečný. A to i s ohledem na to, že program ÉTA je zaměřen šířeji a navíc umožňuje i podporu projektů ve spolupráci výzkumných organizací a podniků (NAKI umožňuje podporu pouze výzkumným organizacím). Pro srovnání: NAKI = 2,8 mld. </w:t>
      </w:r>
      <w:r w:rsidR="0088160D">
        <w:rPr>
          <w:rFonts w:eastAsia="Arial" w:cs="Arial"/>
          <w:i/>
          <w:color w:val="000000"/>
          <w:spacing w:val="-2"/>
          <w:lang w:eastAsia="cs-CZ"/>
        </w:rPr>
        <w:t>Kč</w:t>
      </w:r>
      <w:r w:rsidR="0088160D" w:rsidRPr="00584532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i/>
          <w:color w:val="000000"/>
          <w:spacing w:val="-2"/>
          <w:lang w:eastAsia="cs-CZ"/>
        </w:rPr>
        <w:t>ze státního rozpočtu během 7 let na min. 170 podpořených projektů a min. 170 aplikovaných výsledků dle RIV;  ÉTA =</w:t>
      </w:r>
      <w:r w:rsidR="00465031">
        <w:rPr>
          <w:rFonts w:eastAsia="Arial" w:cs="Arial"/>
          <w:i/>
          <w:color w:val="000000"/>
          <w:spacing w:val="-2"/>
          <w:lang w:eastAsia="cs-CZ"/>
        </w:rPr>
        <w:t>2,4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mld. </w:t>
      </w:r>
      <w:r w:rsidR="0088160D">
        <w:rPr>
          <w:rFonts w:eastAsia="Arial" w:cs="Arial"/>
          <w:i/>
          <w:color w:val="000000"/>
          <w:spacing w:val="-2"/>
          <w:lang w:eastAsia="cs-CZ"/>
        </w:rPr>
        <w:t>Kč</w:t>
      </w:r>
      <w:r w:rsidR="0088160D" w:rsidRPr="00584532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ze státního rozpočtu během </w:t>
      </w:r>
      <w:r w:rsidR="00465031">
        <w:rPr>
          <w:rFonts w:eastAsia="Arial" w:cs="Arial"/>
          <w:i/>
          <w:color w:val="000000"/>
          <w:spacing w:val="-2"/>
          <w:lang w:eastAsia="cs-CZ"/>
        </w:rPr>
        <w:t>6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let na min.</w:t>
      </w:r>
      <w:r w:rsidR="00465031">
        <w:rPr>
          <w:rFonts w:eastAsia="Arial" w:cs="Arial"/>
          <w:i/>
          <w:color w:val="000000"/>
          <w:spacing w:val="-2"/>
          <w:lang w:eastAsia="cs-CZ"/>
        </w:rPr>
        <w:t xml:space="preserve"> 525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podpořených projektů a min. </w:t>
      </w:r>
      <w:r w:rsidR="00465031">
        <w:rPr>
          <w:rFonts w:eastAsia="Arial" w:cs="Arial"/>
          <w:i/>
          <w:color w:val="000000"/>
          <w:spacing w:val="-2"/>
          <w:lang w:eastAsia="cs-CZ"/>
        </w:rPr>
        <w:t>525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 aplikovaných výsledků dle RIV. </w:t>
      </w:r>
    </w:p>
    <w:p w14:paraId="06E2CC92" w14:textId="1C500E32" w:rsidR="00C273E0" w:rsidRPr="00584532" w:rsidRDefault="00DB6122" w:rsidP="00584532">
      <w:pPr>
        <w:spacing w:before="0" w:after="120" w:line="240" w:lineRule="auto"/>
        <w:ind w:left="426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Navýšit je možné </w:t>
      </w:r>
      <w:r w:rsidR="00455F53" w:rsidRPr="00584532">
        <w:rPr>
          <w:rFonts w:eastAsia="Arial" w:cs="Arial"/>
          <w:i/>
          <w:color w:val="000000"/>
          <w:spacing w:val="-2"/>
          <w:lang w:eastAsia="cs-CZ"/>
        </w:rPr>
        <w:t xml:space="preserve">minimální </w:t>
      </w:r>
      <w:r w:rsidRPr="00584532">
        <w:rPr>
          <w:rFonts w:eastAsia="Arial" w:cs="Arial"/>
          <w:i/>
          <w:color w:val="000000"/>
          <w:spacing w:val="-2"/>
          <w:lang w:eastAsia="cs-CZ"/>
        </w:rPr>
        <w:t>počet předpokládaných „vedlejších indikátorů programu“ v podobě dosažených výstupů dle výsledků RIV v oblasti publikačních aktivit, a to obdobně jako je tomu v</w:t>
      </w:r>
      <w:r w:rsidR="00532E33">
        <w:rPr>
          <w:rFonts w:eastAsia="Arial" w:cs="Arial"/>
          <w:i/>
          <w:color w:val="000000"/>
          <w:spacing w:val="-2"/>
          <w:lang w:eastAsia="cs-CZ"/>
        </w:rPr>
        <w:t> </w:t>
      </w:r>
      <w:r w:rsidRPr="00584532">
        <w:rPr>
          <w:rFonts w:eastAsia="Arial" w:cs="Arial"/>
          <w:i/>
          <w:color w:val="000000"/>
          <w:spacing w:val="-2"/>
          <w:lang w:eastAsia="cs-CZ"/>
        </w:rPr>
        <w:t>komplementárním programu NAKI (ten předpokládá dosažení 2500 publikačních výsledků).</w:t>
      </w:r>
      <w:r w:rsidR="00455F53" w:rsidRPr="00584532">
        <w:rPr>
          <w:rFonts w:eastAsia="Arial" w:cs="Arial"/>
          <w:i/>
          <w:color w:val="000000"/>
          <w:spacing w:val="-2"/>
          <w:lang w:eastAsia="cs-CZ"/>
        </w:rPr>
        <w:t xml:space="preserve"> K stanovení tohoto min. počtu bude TA ČR vycházet z</w:t>
      </w:r>
      <w:r w:rsidR="002A72A7">
        <w:rPr>
          <w:rFonts w:eastAsia="Arial" w:cs="Arial"/>
          <w:i/>
          <w:color w:val="000000"/>
          <w:spacing w:val="-2"/>
          <w:lang w:eastAsia="cs-CZ"/>
        </w:rPr>
        <w:t xml:space="preserve"> poznatků </w:t>
      </w:r>
      <w:r w:rsidR="00455F53" w:rsidRPr="00584532">
        <w:rPr>
          <w:rFonts w:eastAsia="Arial" w:cs="Arial"/>
          <w:i/>
          <w:color w:val="000000"/>
          <w:spacing w:val="-2"/>
          <w:lang w:eastAsia="cs-CZ"/>
        </w:rPr>
        <w:t>průběžné evaluace programu OMEGA.</w:t>
      </w:r>
    </w:p>
    <w:p w14:paraId="45CEB277" w14:textId="77777777" w:rsidR="00C273E0" w:rsidRPr="00584532" w:rsidRDefault="00C273E0" w:rsidP="0021133A">
      <w:pPr>
        <w:pStyle w:val="slovn"/>
        <w:keepNext/>
        <w:rPr>
          <w:spacing w:val="-2"/>
        </w:rPr>
      </w:pPr>
      <w:r w:rsidRPr="00584532">
        <w:rPr>
          <w:spacing w:val="-2"/>
        </w:rPr>
        <w:t>K části 10. – Očekávané výsledky a přínosy Programu</w:t>
      </w:r>
    </w:p>
    <w:p w14:paraId="25A14644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Rada požaduje rozepsat, o které předpokládané dosažené výsledky se podle Metodiky hodnocení bude jednat a nepoužívat pouze kódy.</w:t>
      </w:r>
    </w:p>
    <w:p w14:paraId="371159AC" w14:textId="77777777" w:rsidR="00455F53" w:rsidRDefault="00455F53" w:rsidP="00C273E0">
      <w:pPr>
        <w:spacing w:before="0" w:after="120" w:line="240" w:lineRule="auto"/>
        <w:jc w:val="both"/>
        <w:rPr>
          <w:rFonts w:eastAsia="Cambria" w:cs="Cambria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>: akceptováno</w:t>
      </w:r>
    </w:p>
    <w:p w14:paraId="2FA9F374" w14:textId="77777777" w:rsidR="002063AB" w:rsidRDefault="002063AB" w:rsidP="002063AB">
      <w:pPr>
        <w:spacing w:before="0" w:after="120" w:line="240" w:lineRule="auto"/>
        <w:ind w:left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lastRenderedPageBreak/>
        <w:t>Program bude příslušným způsobem doplněn</w:t>
      </w:r>
      <w:r w:rsidRPr="00584532">
        <w:rPr>
          <w:rFonts w:eastAsia="Arial" w:cs="Arial"/>
          <w:i/>
          <w:color w:val="000000"/>
          <w:spacing w:val="-2"/>
          <w:lang w:eastAsia="cs-CZ"/>
        </w:rPr>
        <w:t>.</w:t>
      </w:r>
    </w:p>
    <w:p w14:paraId="511D0927" w14:textId="77777777" w:rsidR="00C273E0" w:rsidRPr="00584532" w:rsidRDefault="00BF08F6" w:rsidP="001E094D">
      <w:pPr>
        <w:pStyle w:val="slovn"/>
        <w:rPr>
          <w:spacing w:val="-2"/>
        </w:rPr>
      </w:pPr>
      <w:r>
        <w:rPr>
          <w:spacing w:val="-2"/>
        </w:rPr>
        <w:t>K</w:t>
      </w:r>
      <w:r w:rsidR="00C273E0" w:rsidRPr="00584532">
        <w:rPr>
          <w:spacing w:val="-2"/>
        </w:rPr>
        <w:t xml:space="preserve"> části 10. – Očekávané výsledky a přínosy Programu</w:t>
      </w:r>
    </w:p>
    <w:p w14:paraId="61F4F43C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Rada žádá, aby se poskytovatel v případě výstupů ve formě certifikovaných metodik řídil Doporučením rady k certifikaci metodik, schváleném na 291. zasedání Rady 14. února 2014, se mimo jiné uvádí:</w:t>
      </w:r>
    </w:p>
    <w:p w14:paraId="0D4A7E30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„U nových projektů, jejichž výsledkem má být certifikovaná metodika, musí poskytovatel znát autoritu, která certifikaci provede. Pokud je touto autoritou poskytovatel sám (resp. jeho odborné útvary), schválí řešení projektu pouze v tom případě, že je připraven vytvořenou metodiku certifikovat a využít, případně doporučit její využití v praxi.“</w:t>
      </w:r>
    </w:p>
    <w:p w14:paraId="7DD7A97C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Dále se uvádí:</w:t>
      </w:r>
    </w:p>
    <w:p w14:paraId="558E0723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„Ostatní poskytovatelé (např. Technologická agentura ČR) by neměli schválit řešení projektu s předpokládaným výsledkem „certifikovaná metodika“, pokud není před uzavřením smlouvy/vydáním rozhodnutí o poskytnutí účelové podpory známa autorita, která vzniklou metodiku certifikuje. Vzhledem k tomu, že Technologická agentura ČR zabezpečuje mimo jiné výzkum a vývoj pro ty resorty, které nemají ve své rozpočtové kapitole finanční prostředky na podporu VaVaI, musí u programů, jejichž výsledkem může být certifikovaná metodika, s příslušným resortem projednat postup certifikace v jeho působnosti a tento postup zakotvit do zadávací dokumentace. V takovém případě musí být partnerem poskytovatele útvar, jehož zodpovědnost ve věci je stanovena vnitřním organizačním předpisem příslušného ústředního správního úřadu.</w:t>
      </w:r>
    </w:p>
    <w:p w14:paraId="44B4A4C1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 xml:space="preserve">Doporučení Rady je v plném znění publikováno na </w:t>
      </w:r>
      <w:hyperlink r:id="rId9" w:history="1">
        <w:r w:rsidRPr="00584532">
          <w:rPr>
            <w:rStyle w:val="Hypertextovodkaz"/>
            <w:rFonts w:eastAsia="Arial" w:cs="Arial"/>
            <w:spacing w:val="-2"/>
            <w:lang w:eastAsia="cs-CZ"/>
          </w:rPr>
          <w:t>www.vyzkum.cz</w:t>
        </w:r>
      </w:hyperlink>
      <w:r w:rsidRPr="00584532">
        <w:rPr>
          <w:rFonts w:eastAsia="Arial" w:cs="Arial"/>
          <w:color w:val="000000"/>
          <w:spacing w:val="-2"/>
          <w:lang w:eastAsia="cs-CZ"/>
        </w:rPr>
        <w:t>.</w:t>
      </w:r>
    </w:p>
    <w:p w14:paraId="61214E30" w14:textId="77777777" w:rsidR="00455F53" w:rsidRPr="00584532" w:rsidRDefault="00455F53" w:rsidP="00455F53">
      <w:pPr>
        <w:spacing w:before="0" w:after="120" w:line="240" w:lineRule="auto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>: akceptováno</w:t>
      </w:r>
    </w:p>
    <w:p w14:paraId="55C16B9E" w14:textId="77777777" w:rsidR="00C273E0" w:rsidRPr="00584532" w:rsidRDefault="00455F53" w:rsidP="00457BEE">
      <w:pPr>
        <w:spacing w:before="0" w:after="120" w:line="240" w:lineRule="auto"/>
        <w:ind w:left="425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V případě certifikovaných metodik vychází TA ČR jak z výše uvedeného doporučení schváleném na 291. zasedání Rady 14. února 2014, tak z principů vycházejících z doporučení schváleném na 311. </w:t>
      </w:r>
      <w:r w:rsidR="00000DAD" w:rsidRPr="00584532">
        <w:rPr>
          <w:rFonts w:eastAsia="Arial" w:cs="Arial"/>
          <w:i/>
          <w:color w:val="000000"/>
          <w:spacing w:val="-2"/>
          <w:lang w:eastAsia="cs-CZ"/>
        </w:rPr>
        <w:t>z</w:t>
      </w:r>
      <w:r w:rsidR="002A72A7">
        <w:rPr>
          <w:rFonts w:eastAsia="Arial" w:cs="Arial"/>
          <w:i/>
          <w:color w:val="000000"/>
          <w:spacing w:val="-2"/>
          <w:lang w:eastAsia="cs-CZ"/>
        </w:rPr>
        <w:t>asedání Rady 18. p</w:t>
      </w:r>
      <w:r w:rsidRPr="00584532">
        <w:rPr>
          <w:rFonts w:eastAsia="Arial" w:cs="Arial"/>
          <w:i/>
          <w:color w:val="000000"/>
          <w:spacing w:val="-2"/>
          <w:lang w:eastAsia="cs-CZ"/>
        </w:rPr>
        <w:t>rosince 2015 k Certifikaci aplikovaných výstupu v sociálních a humanitních vědách (311/A7)</w:t>
      </w:r>
      <w:r w:rsidR="00584532" w:rsidRPr="00584532">
        <w:rPr>
          <w:rStyle w:val="Znakapoznpodarou"/>
          <w:rFonts w:eastAsia="Arial" w:cs="Arial"/>
          <w:i/>
          <w:color w:val="000000"/>
          <w:spacing w:val="-2"/>
          <w:lang w:eastAsia="cs-CZ"/>
        </w:rPr>
        <w:footnoteReference w:id="2"/>
      </w:r>
      <w:r w:rsidRPr="00584532">
        <w:rPr>
          <w:rFonts w:eastAsia="Arial" w:cs="Arial"/>
          <w:i/>
          <w:color w:val="000000"/>
          <w:spacing w:val="-2"/>
          <w:lang w:eastAsia="cs-CZ"/>
        </w:rPr>
        <w:t>.</w:t>
      </w:r>
    </w:p>
    <w:p w14:paraId="784A609D" w14:textId="77777777" w:rsidR="00C273E0" w:rsidRPr="00584532" w:rsidRDefault="00C273E0" w:rsidP="001E094D">
      <w:pPr>
        <w:pStyle w:val="slovn"/>
        <w:rPr>
          <w:spacing w:val="-2"/>
        </w:rPr>
      </w:pPr>
      <w:r w:rsidRPr="00584532">
        <w:rPr>
          <w:spacing w:val="-2"/>
        </w:rPr>
        <w:t>K části 17. – Srovnání současného stavu v České republice a v zahraničí</w:t>
      </w:r>
    </w:p>
    <w:p w14:paraId="58696D88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Rada požaduje přímo do této části návrhu Programu doplnit o výsledky a přínosy předchozího programu OMEGA a čím se od něj Program ÉTA liší.</w:t>
      </w:r>
    </w:p>
    <w:p w14:paraId="5F9BD60B" w14:textId="77777777" w:rsidR="00C273E0" w:rsidRDefault="00C273E0" w:rsidP="00C273E0">
      <w:pPr>
        <w:spacing w:before="0" w:after="120" w:line="240" w:lineRule="auto"/>
        <w:jc w:val="both"/>
        <w:rPr>
          <w:rFonts w:eastAsia="Cambria" w:cs="Cambria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000DAD" w:rsidRPr="00584532">
        <w:rPr>
          <w:rFonts w:eastAsia="Cambria" w:cs="Cambria"/>
          <w:b/>
          <w:i/>
          <w:color w:val="000000"/>
          <w:spacing w:val="-2"/>
          <w:lang w:eastAsia="cs-CZ"/>
        </w:rPr>
        <w:t>akceptováno</w:t>
      </w:r>
    </w:p>
    <w:p w14:paraId="786F4374" w14:textId="6323CBE0" w:rsidR="002063AB" w:rsidRPr="002063AB" w:rsidRDefault="002063AB" w:rsidP="002063AB">
      <w:pPr>
        <w:spacing w:before="0" w:after="120" w:line="240" w:lineRule="auto"/>
        <w:ind w:left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 xml:space="preserve">Program </w:t>
      </w:r>
      <w:r w:rsidR="00C956F4">
        <w:rPr>
          <w:rFonts w:eastAsia="Arial" w:cs="Arial"/>
          <w:i/>
          <w:color w:val="000000"/>
          <w:spacing w:val="-2"/>
          <w:lang w:eastAsia="cs-CZ"/>
        </w:rPr>
        <w:t xml:space="preserve">byl </w:t>
      </w:r>
      <w:r>
        <w:rPr>
          <w:rFonts w:eastAsia="Arial" w:cs="Arial"/>
          <w:i/>
          <w:color w:val="000000"/>
          <w:spacing w:val="-2"/>
          <w:lang w:eastAsia="cs-CZ"/>
        </w:rPr>
        <w:t>příslušným způsobem doplněn</w:t>
      </w:r>
      <w:r w:rsidRPr="00584532">
        <w:rPr>
          <w:rFonts w:eastAsia="Arial" w:cs="Arial"/>
          <w:i/>
          <w:color w:val="000000"/>
          <w:spacing w:val="-2"/>
          <w:lang w:eastAsia="cs-CZ"/>
        </w:rPr>
        <w:t>.</w:t>
      </w:r>
    </w:p>
    <w:p w14:paraId="5F7BA2B7" w14:textId="77777777" w:rsidR="00C273E0" w:rsidRPr="00584532" w:rsidRDefault="00C273E0" w:rsidP="001E094D">
      <w:pPr>
        <w:pStyle w:val="slovn"/>
        <w:rPr>
          <w:spacing w:val="-2"/>
        </w:rPr>
      </w:pPr>
      <w:r w:rsidRPr="00584532">
        <w:rPr>
          <w:spacing w:val="-2"/>
        </w:rPr>
        <w:t>Obecné zásadní připomínky</w:t>
      </w:r>
    </w:p>
    <w:p w14:paraId="251E1DC6" w14:textId="192FE2BE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V návrhu Programu je uvedeno, že bude realizován v souladu s principy Národní iniciativy Průmysl 4.0, s Národní politikou výzkumu, vývoje a inovací České republiky na léta 2016 až 2020 s výhledem do roku 2025, schválenou usnesením vlády České republiky ze dne 17. února 2016 č. 135, Národními prioritami orientovaného výzkumu, experimentálního vývoje a inovací, které byly přijaty usnesením vlády ze dne 19. července 2012 č. 552, Národní výzkumnou a inovační strategií pro inteligentní specializaci České republiky schválenou usnesením vlády České republiky ze dne 8. prosince 2014 č. 1028</w:t>
      </w:r>
      <w:bookmarkStart w:id="0" w:name="_GoBack"/>
      <w:bookmarkEnd w:id="0"/>
      <w:r w:rsidRPr="00584532">
        <w:rPr>
          <w:rFonts w:eastAsia="Arial" w:cs="Arial"/>
          <w:color w:val="000000"/>
          <w:spacing w:val="-2"/>
          <w:lang w:eastAsia="cs-CZ"/>
        </w:rPr>
        <w:t xml:space="preserve"> a dalšími národními a rezortními strategiemi.</w:t>
      </w:r>
    </w:p>
    <w:p w14:paraId="0F68FFDC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lastRenderedPageBreak/>
        <w:t>Rada upozorňuje na neplatnost nebo nevhodnost, popřípadě předčasnost uvedení Programu do souladu s některými uvedenými dokumenty.</w:t>
      </w:r>
    </w:p>
    <w:p w14:paraId="4A2C66F9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Rada nedoporučuje odvolávat se na dokument Národní iniciativa Průmysl 4.0., který má pouze resortní charakter a nebyl zatím schválen vládou.</w:t>
      </w:r>
    </w:p>
    <w:p w14:paraId="2477464F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Uvedená Národní politika výzkumu byla nahrazena novým dokumentem, kterým je Národní politika výzkumu, vývoje a inovací České republiky schválená usnesením vlády ze dne 17. února 2016 č. 135.</w:t>
      </w:r>
    </w:p>
    <w:p w14:paraId="0ED1151A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 xml:space="preserve">Uvedení Programu do souladu s Národní výzkumnou a inovační strategií </w:t>
      </w:r>
      <w:proofErr w:type="gramStart"/>
      <w:r w:rsidRPr="00584532">
        <w:rPr>
          <w:rFonts w:eastAsia="Arial" w:cs="Arial"/>
          <w:color w:val="000000"/>
          <w:spacing w:val="-2"/>
          <w:lang w:eastAsia="cs-CZ"/>
        </w:rPr>
        <w:t>není v  současné</w:t>
      </w:r>
      <w:proofErr w:type="gramEnd"/>
      <w:r w:rsidRPr="00584532">
        <w:rPr>
          <w:rFonts w:eastAsia="Arial" w:cs="Arial"/>
          <w:color w:val="000000"/>
          <w:spacing w:val="-2"/>
          <w:lang w:eastAsia="cs-CZ"/>
        </w:rPr>
        <w:t xml:space="preserve"> době reálné, protože zde zatím nejsou identifikovány společenské výzvy. </w:t>
      </w:r>
    </w:p>
    <w:p w14:paraId="0623361B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Dále Rada požaduje uvedenou část opravit, zejména uvést správné dokumenty a usnesení vlády.</w:t>
      </w:r>
    </w:p>
    <w:p w14:paraId="2CB59469" w14:textId="77777777" w:rsidR="0056483A" w:rsidRDefault="00C273E0" w:rsidP="004E4F45">
      <w:pPr>
        <w:spacing w:before="0" w:after="120" w:line="240" w:lineRule="auto"/>
        <w:jc w:val="both"/>
        <w:rPr>
          <w:rFonts w:eastAsia="Cambria" w:cs="Cambria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C956F4">
        <w:rPr>
          <w:rFonts w:eastAsia="Cambria" w:cs="Cambria"/>
          <w:b/>
          <w:i/>
          <w:color w:val="000000"/>
          <w:spacing w:val="-2"/>
          <w:lang w:eastAsia="cs-CZ"/>
        </w:rPr>
        <w:t xml:space="preserve">akceptováno, </w:t>
      </w:r>
      <w:r w:rsidR="00000DAD" w:rsidRPr="00584532">
        <w:rPr>
          <w:rFonts w:eastAsia="Cambria" w:cs="Cambria"/>
          <w:b/>
          <w:i/>
          <w:color w:val="000000"/>
          <w:spacing w:val="-2"/>
          <w:lang w:eastAsia="cs-CZ"/>
        </w:rPr>
        <w:t>vysvětleno.</w:t>
      </w:r>
    </w:p>
    <w:p w14:paraId="044D2AC0" w14:textId="78322B77" w:rsidR="00000DAD" w:rsidRPr="00584532" w:rsidRDefault="00C956F4" w:rsidP="004E4F45">
      <w:pPr>
        <w:spacing w:before="0" w:after="120" w:line="240" w:lineRule="auto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 xml:space="preserve">Text programu neodkazuje na </w:t>
      </w:r>
      <w:r w:rsidRPr="00C956F4">
        <w:rPr>
          <w:rFonts w:eastAsia="Arial" w:cs="Arial"/>
          <w:i/>
          <w:color w:val="000000"/>
          <w:spacing w:val="-2"/>
          <w:lang w:eastAsia="cs-CZ"/>
        </w:rPr>
        <w:t>Národní výzkumnou a inovační strategii</w:t>
      </w:r>
      <w:r>
        <w:rPr>
          <w:rFonts w:eastAsia="Arial" w:cs="Arial"/>
          <w:color w:val="000000"/>
          <w:spacing w:val="-2"/>
          <w:lang w:eastAsia="cs-CZ"/>
        </w:rPr>
        <w:t xml:space="preserve">. </w:t>
      </w:r>
      <w:r w:rsidR="004E4F45" w:rsidRPr="004E4F45">
        <w:rPr>
          <w:rFonts w:eastAsia="Arial" w:cs="Arial"/>
          <w:i/>
          <w:color w:val="000000"/>
          <w:spacing w:val="-2"/>
          <w:lang w:eastAsia="cs-CZ"/>
        </w:rPr>
        <w:t>Národní iniciativa Průmysl 4.0 (dále jen „NIP 4.0“)</w:t>
      </w:r>
      <w:r w:rsidR="004E4F45">
        <w:rPr>
          <w:rFonts w:eastAsia="Arial" w:cs="Arial"/>
          <w:i/>
          <w:color w:val="000000"/>
          <w:spacing w:val="-2"/>
          <w:lang w:eastAsia="cs-CZ"/>
        </w:rPr>
        <w:t xml:space="preserve"> byla </w:t>
      </w:r>
      <w:r w:rsidR="004E4F45" w:rsidRPr="004E4F45">
        <w:rPr>
          <w:rFonts w:eastAsia="Arial" w:cs="Arial"/>
          <w:i/>
          <w:color w:val="000000"/>
          <w:spacing w:val="-2"/>
          <w:lang w:eastAsia="cs-CZ"/>
        </w:rPr>
        <w:t xml:space="preserve">schválena usnesením vlády České republiky ze dne 24. </w:t>
      </w:r>
      <w:r w:rsidR="00DD2DAB">
        <w:rPr>
          <w:rFonts w:eastAsia="Arial" w:cs="Arial"/>
          <w:i/>
          <w:color w:val="000000"/>
          <w:spacing w:val="-2"/>
          <w:lang w:eastAsia="cs-CZ"/>
        </w:rPr>
        <w:t>s</w:t>
      </w:r>
      <w:r w:rsidR="004E4F45" w:rsidRPr="004E4F45">
        <w:rPr>
          <w:rFonts w:eastAsia="Arial" w:cs="Arial"/>
          <w:i/>
          <w:color w:val="000000"/>
          <w:spacing w:val="-2"/>
          <w:lang w:eastAsia="cs-CZ"/>
        </w:rPr>
        <w:t>rpna 2016 č. 729.</w:t>
      </w:r>
      <w:r w:rsidR="002063AB"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="004E4F45">
        <w:rPr>
          <w:rFonts w:eastAsia="Arial" w:cs="Arial"/>
          <w:i/>
          <w:color w:val="000000"/>
          <w:spacing w:val="-2"/>
          <w:lang w:eastAsia="cs-CZ"/>
        </w:rPr>
        <w:t>V</w:t>
      </w:r>
      <w:r w:rsidR="004E4F45" w:rsidRPr="00584532">
        <w:rPr>
          <w:rFonts w:eastAsia="Arial" w:cs="Arial"/>
          <w:i/>
          <w:color w:val="000000"/>
          <w:spacing w:val="-2"/>
          <w:lang w:eastAsia="cs-CZ"/>
        </w:rPr>
        <w:t> </w:t>
      </w:r>
      <w:r w:rsidR="00000DAD" w:rsidRPr="00584532">
        <w:rPr>
          <w:rFonts w:eastAsia="Arial" w:cs="Arial"/>
          <w:i/>
          <w:color w:val="000000"/>
          <w:spacing w:val="-2"/>
          <w:lang w:eastAsia="cs-CZ"/>
        </w:rPr>
        <w:t xml:space="preserve">textu programu </w:t>
      </w:r>
      <w:r w:rsidR="004E4F45">
        <w:rPr>
          <w:rFonts w:eastAsia="Arial" w:cs="Arial"/>
          <w:i/>
          <w:color w:val="000000"/>
          <w:spacing w:val="-2"/>
          <w:lang w:eastAsia="cs-CZ"/>
        </w:rPr>
        <w:t xml:space="preserve">je však </w:t>
      </w:r>
      <w:r w:rsidR="00000DAD" w:rsidRPr="00584532">
        <w:rPr>
          <w:rFonts w:eastAsia="Arial" w:cs="Arial"/>
          <w:i/>
          <w:color w:val="000000"/>
          <w:spacing w:val="-2"/>
          <w:lang w:eastAsia="cs-CZ"/>
        </w:rPr>
        <w:t>odkázáno obecněji na principy čtvrté průmyslové revoluce.</w:t>
      </w:r>
    </w:p>
    <w:p w14:paraId="1F6DC2DF" w14:textId="77777777" w:rsidR="00C273E0" w:rsidRPr="00584532" w:rsidRDefault="00C273E0" w:rsidP="001E094D">
      <w:pPr>
        <w:pStyle w:val="slovn"/>
        <w:rPr>
          <w:spacing w:val="-2"/>
        </w:rPr>
      </w:pPr>
      <w:r w:rsidRPr="00584532">
        <w:rPr>
          <w:spacing w:val="-2"/>
        </w:rPr>
        <w:t xml:space="preserve">TA ČR uvádí, že Program je průřezový (část 6. Zaměření Programu) a má velmi široký rozsah. </w:t>
      </w:r>
    </w:p>
    <w:p w14:paraId="50D9A48D" w14:textId="2776510E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Z tohoto důvodu se bude snažit o vyloučení možných duplicit projektů naplňujících prioritní oblast „Sociální a kulturní výzvy“ a „Zdravá populace“ v tomto Programu s programy Ministerstva kultury a</w:t>
      </w:r>
      <w:r w:rsidR="00EA396D">
        <w:rPr>
          <w:rFonts w:eastAsia="Arial" w:cs="Arial"/>
          <w:color w:val="000000"/>
          <w:spacing w:val="-2"/>
          <w:lang w:eastAsia="cs-CZ"/>
        </w:rPr>
        <w:t> </w:t>
      </w:r>
      <w:r w:rsidRPr="00584532">
        <w:rPr>
          <w:rFonts w:eastAsia="Arial" w:cs="Arial"/>
          <w:color w:val="000000"/>
          <w:spacing w:val="-2"/>
          <w:lang w:eastAsia="cs-CZ"/>
        </w:rPr>
        <w:t>Ministerstva zdravotnictví.</w:t>
      </w:r>
    </w:p>
    <w:p w14:paraId="488A9043" w14:textId="693D5B4C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color w:val="000000"/>
          <w:spacing w:val="-2"/>
          <w:lang w:eastAsia="cs-CZ"/>
        </w:rPr>
      </w:pPr>
      <w:r w:rsidRPr="00584532">
        <w:rPr>
          <w:rFonts w:eastAsia="Arial" w:cs="Arial"/>
          <w:color w:val="000000"/>
          <w:spacing w:val="-2"/>
          <w:lang w:eastAsia="cs-CZ"/>
        </w:rPr>
        <w:t>Vzhledem k charakteru Programu Rada požaduje do návrhu Programu uvést, zda a jakým způsobem budou důsledně monitorovány možné duplicity některých projektů v rámci jiných programů, kterých je třeba se vyvarovat. Jedná se nejen o možné duplicity s programy Ministerstev kultury a zdravotnictví, ale také zemědělství, vnitra a obrany a některými projekty týkajícími se problematiky životního prostředí a</w:t>
      </w:r>
      <w:r w:rsidR="00EA396D">
        <w:rPr>
          <w:rFonts w:eastAsia="Arial" w:cs="Arial"/>
          <w:color w:val="000000"/>
          <w:spacing w:val="-2"/>
          <w:lang w:eastAsia="cs-CZ"/>
        </w:rPr>
        <w:t> </w:t>
      </w:r>
      <w:r w:rsidRPr="00584532">
        <w:rPr>
          <w:rFonts w:eastAsia="Arial" w:cs="Arial"/>
          <w:color w:val="000000"/>
          <w:spacing w:val="-2"/>
          <w:lang w:eastAsia="cs-CZ"/>
        </w:rPr>
        <w:t>dopravy.</w:t>
      </w:r>
    </w:p>
    <w:p w14:paraId="06CD286B" w14:textId="77777777" w:rsidR="00C273E0" w:rsidRPr="00584532" w:rsidRDefault="00C273E0" w:rsidP="00C273E0">
      <w:pPr>
        <w:spacing w:before="0" w:after="120" w:line="240" w:lineRule="auto"/>
        <w:jc w:val="both"/>
        <w:rPr>
          <w:rFonts w:eastAsia="Arial" w:cs="Arial"/>
          <w:b/>
          <w:i/>
          <w:color w:val="000000"/>
          <w:spacing w:val="-2"/>
          <w:lang w:eastAsia="cs-CZ"/>
        </w:rPr>
      </w:pPr>
      <w:r w:rsidRPr="00584532">
        <w:rPr>
          <w:rFonts w:eastAsia="Cambria" w:cs="Cambria"/>
          <w:b/>
          <w:i/>
          <w:color w:val="000000"/>
          <w:spacing w:val="-2"/>
          <w:u w:val="single"/>
          <w:lang w:eastAsia="cs-CZ"/>
        </w:rPr>
        <w:t>Reakce TA ČR</w:t>
      </w:r>
      <w:r w:rsidRPr="00584532">
        <w:rPr>
          <w:rFonts w:eastAsia="Cambria" w:cs="Cambria"/>
          <w:b/>
          <w:i/>
          <w:color w:val="000000"/>
          <w:spacing w:val="-2"/>
          <w:lang w:eastAsia="cs-CZ"/>
        </w:rPr>
        <w:t xml:space="preserve">: </w:t>
      </w:r>
      <w:r w:rsidR="00457BEE" w:rsidRPr="00584532">
        <w:rPr>
          <w:rFonts w:eastAsia="Cambria" w:cs="Cambria"/>
          <w:b/>
          <w:i/>
          <w:color w:val="000000"/>
          <w:spacing w:val="-2"/>
          <w:lang w:eastAsia="cs-CZ"/>
        </w:rPr>
        <w:t>akceptováno, vysvětleno</w:t>
      </w:r>
    </w:p>
    <w:p w14:paraId="3ED7E0A5" w14:textId="77777777" w:rsidR="00DD2DAB" w:rsidRDefault="00000DAD" w:rsidP="00457BEE">
      <w:pPr>
        <w:spacing w:before="0" w:after="120" w:line="240" w:lineRule="auto"/>
        <w:ind w:left="708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Pro minimalizaci duplicit podniká </w:t>
      </w:r>
      <w:r w:rsidR="002314B8">
        <w:rPr>
          <w:rFonts w:eastAsia="Arial" w:cs="Arial"/>
          <w:i/>
          <w:color w:val="000000"/>
          <w:spacing w:val="-2"/>
          <w:lang w:eastAsia="cs-CZ"/>
        </w:rPr>
        <w:t xml:space="preserve">nebo bude podnikat </w:t>
      </w:r>
      <w:r w:rsidR="00392E8A">
        <w:rPr>
          <w:rFonts w:eastAsia="Arial" w:cs="Arial"/>
          <w:i/>
          <w:color w:val="000000"/>
          <w:spacing w:val="-2"/>
          <w:lang w:eastAsia="cs-CZ"/>
        </w:rPr>
        <w:t xml:space="preserve">TA ČR </w:t>
      </w:r>
      <w:r w:rsidRPr="00584532">
        <w:rPr>
          <w:rFonts w:eastAsia="Arial" w:cs="Arial"/>
          <w:i/>
          <w:color w:val="000000"/>
          <w:spacing w:val="-2"/>
          <w:lang w:eastAsia="cs-CZ"/>
        </w:rPr>
        <w:t xml:space="preserve">tyto aktivity: </w:t>
      </w:r>
    </w:p>
    <w:p w14:paraId="6242FFAE" w14:textId="622FA88D" w:rsidR="00DD2DAB" w:rsidRPr="00DD2DAB" w:rsidRDefault="00DD2DAB" w:rsidP="00DD2DAB">
      <w:pPr>
        <w:pStyle w:val="Odstavecseseznamem"/>
        <w:numPr>
          <w:ilvl w:val="1"/>
          <w:numId w:val="17"/>
        </w:numPr>
        <w:spacing w:before="0" w:after="120" w:line="240" w:lineRule="auto"/>
        <w:ind w:left="1134" w:hanging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>Pro</w:t>
      </w:r>
      <w:r w:rsidR="00CB6AAB" w:rsidRPr="00DD2DAB">
        <w:rPr>
          <w:rFonts w:eastAsia="Arial" w:cs="Arial"/>
          <w:i/>
          <w:color w:val="000000"/>
          <w:spacing w:val="-2"/>
          <w:lang w:eastAsia="cs-CZ"/>
        </w:rPr>
        <w:t xml:space="preserve"> hodnocení případných duplicit, návazností, komplementarit a synergií mezi různými programy a již realizovanými projekty a návrhy projektů využije poskytovatel datové a</w:t>
      </w:r>
      <w:r w:rsidR="00EA396D">
        <w:rPr>
          <w:rFonts w:eastAsia="Arial" w:cs="Arial"/>
          <w:i/>
          <w:color w:val="000000"/>
          <w:spacing w:val="-2"/>
          <w:lang w:eastAsia="cs-CZ"/>
        </w:rPr>
        <w:t> </w:t>
      </w:r>
      <w:r w:rsidR="00CB6AAB" w:rsidRPr="00DD2DAB">
        <w:rPr>
          <w:rFonts w:eastAsia="Arial" w:cs="Arial"/>
          <w:i/>
          <w:color w:val="000000"/>
          <w:spacing w:val="-2"/>
          <w:lang w:eastAsia="cs-CZ"/>
        </w:rPr>
        <w:t>analytické nástroje</w:t>
      </w:r>
      <w:r w:rsidR="00000DAD" w:rsidRPr="00DD2DAB">
        <w:rPr>
          <w:rFonts w:eastAsia="Arial" w:cs="Arial"/>
          <w:i/>
          <w:color w:val="000000"/>
          <w:spacing w:val="-2"/>
          <w:lang w:eastAsia="cs-CZ"/>
        </w:rPr>
        <w:t xml:space="preserve">; </w:t>
      </w:r>
    </w:p>
    <w:p w14:paraId="227F57DF" w14:textId="3F9B97F3" w:rsidR="00DD2DAB" w:rsidRPr="00DD2DAB" w:rsidRDefault="00DD2DAB" w:rsidP="00DD2DAB">
      <w:pPr>
        <w:pStyle w:val="Odstavecseseznamem"/>
        <w:numPr>
          <w:ilvl w:val="1"/>
          <w:numId w:val="17"/>
        </w:numPr>
        <w:spacing w:before="0" w:after="120" w:line="240" w:lineRule="auto"/>
        <w:ind w:left="1134" w:hanging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 xml:space="preserve">Pro </w:t>
      </w:r>
      <w:r w:rsidRPr="00DD2DAB">
        <w:rPr>
          <w:rFonts w:eastAsia="Arial" w:cs="Arial"/>
          <w:i/>
          <w:color w:val="000000"/>
          <w:spacing w:val="-2"/>
          <w:lang w:eastAsia="cs-CZ"/>
        </w:rPr>
        <w:t xml:space="preserve">minimalizaci duplicit s programem NAKI Ministerstva kultury </w:t>
      </w:r>
      <w:r w:rsidR="00000DAD" w:rsidRPr="00DD2DAB">
        <w:rPr>
          <w:rFonts w:eastAsia="Arial" w:cs="Arial"/>
          <w:i/>
          <w:color w:val="000000"/>
          <w:spacing w:val="-2"/>
          <w:lang w:eastAsia="cs-CZ"/>
        </w:rPr>
        <w:t>je jmenován zástupce TA ČR v Ra</w:t>
      </w:r>
      <w:r w:rsidRPr="00DD2DAB">
        <w:rPr>
          <w:rFonts w:eastAsia="Arial" w:cs="Arial"/>
          <w:i/>
          <w:color w:val="000000"/>
          <w:spacing w:val="-2"/>
          <w:lang w:eastAsia="cs-CZ"/>
        </w:rPr>
        <w:t xml:space="preserve">dě ministra kultury pro výzkum; </w:t>
      </w:r>
    </w:p>
    <w:p w14:paraId="26EBF1EF" w14:textId="77777777" w:rsidR="00DD2DAB" w:rsidRDefault="00DD2DAB" w:rsidP="00DD2DAB">
      <w:pPr>
        <w:pStyle w:val="Odstavecseseznamem"/>
        <w:numPr>
          <w:ilvl w:val="1"/>
          <w:numId w:val="17"/>
        </w:numPr>
        <w:spacing w:before="0" w:after="120" w:line="240" w:lineRule="auto"/>
        <w:ind w:left="1134" w:hanging="425"/>
        <w:jc w:val="both"/>
        <w:rPr>
          <w:rFonts w:eastAsia="Arial" w:cs="Arial"/>
          <w:i/>
          <w:color w:val="000000"/>
          <w:spacing w:val="-2"/>
          <w:lang w:eastAsia="cs-CZ"/>
        </w:rPr>
      </w:pPr>
      <w:r w:rsidRPr="00DD2DAB">
        <w:rPr>
          <w:rFonts w:eastAsia="Arial" w:cs="Arial"/>
          <w:i/>
          <w:color w:val="000000"/>
          <w:spacing w:val="-2"/>
          <w:lang w:eastAsia="cs-CZ"/>
        </w:rPr>
        <w:t xml:space="preserve">TA ČR požádá MK o reciproční jmenování svého zástupce do Rady programu ÉTA; </w:t>
      </w:r>
    </w:p>
    <w:p w14:paraId="49F3FC56" w14:textId="3917F1BD" w:rsidR="00DD2DAB" w:rsidRDefault="00DD2DAB" w:rsidP="00DD2DAB">
      <w:pPr>
        <w:pStyle w:val="Odstavecseseznamem"/>
        <w:numPr>
          <w:ilvl w:val="1"/>
          <w:numId w:val="17"/>
        </w:numPr>
        <w:spacing w:before="0" w:after="120" w:line="240" w:lineRule="auto"/>
        <w:ind w:left="1134" w:hanging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 xml:space="preserve">Zaměření </w:t>
      </w:r>
      <w:r w:rsidR="00A661D4" w:rsidRPr="00DD2DAB">
        <w:rPr>
          <w:rFonts w:eastAsia="Arial" w:cs="Arial"/>
          <w:i/>
          <w:color w:val="000000"/>
          <w:spacing w:val="-2"/>
          <w:lang w:eastAsia="cs-CZ"/>
        </w:rPr>
        <w:t xml:space="preserve">veřejné soutěže </w:t>
      </w:r>
      <w:r w:rsidR="00CB6AAB" w:rsidRPr="00DD2DAB">
        <w:rPr>
          <w:rFonts w:eastAsia="Arial" w:cs="Arial"/>
          <w:i/>
          <w:color w:val="000000"/>
          <w:spacing w:val="-2"/>
          <w:lang w:eastAsia="cs-CZ"/>
        </w:rPr>
        <w:t>bude</w:t>
      </w:r>
      <w:r w:rsidR="00000DAD" w:rsidRPr="00DD2DAB">
        <w:rPr>
          <w:rFonts w:eastAsia="Arial" w:cs="Arial"/>
          <w:i/>
          <w:color w:val="000000"/>
          <w:spacing w:val="-2"/>
          <w:lang w:eastAsia="cs-CZ"/>
        </w:rPr>
        <w:t xml:space="preserve"> konzultována </w:t>
      </w:r>
      <w:r w:rsidRPr="00DD2DAB">
        <w:rPr>
          <w:rFonts w:eastAsia="Arial" w:cs="Arial"/>
          <w:i/>
          <w:color w:val="000000"/>
          <w:spacing w:val="-2"/>
          <w:lang w:eastAsia="cs-CZ"/>
        </w:rPr>
        <w:t>se zástupci resortů</w:t>
      </w:r>
      <w:r>
        <w:rPr>
          <w:rFonts w:eastAsia="Arial" w:cs="Arial"/>
          <w:i/>
          <w:color w:val="000000"/>
          <w:spacing w:val="-2"/>
          <w:lang w:eastAsia="cs-CZ"/>
        </w:rPr>
        <w:t xml:space="preserve"> a s příslušnými platformami pro společenské a humanitní vědy</w:t>
      </w:r>
      <w:r w:rsidRPr="00DD2DAB">
        <w:rPr>
          <w:rFonts w:eastAsia="Arial" w:cs="Arial"/>
          <w:i/>
          <w:color w:val="000000"/>
          <w:spacing w:val="-2"/>
          <w:lang w:eastAsia="cs-CZ"/>
        </w:rPr>
        <w:t xml:space="preserve">; </w:t>
      </w:r>
    </w:p>
    <w:p w14:paraId="6D1000A9" w14:textId="531E710C" w:rsidR="00584532" w:rsidRPr="0021133A" w:rsidRDefault="00DD2DAB" w:rsidP="00584532">
      <w:pPr>
        <w:pStyle w:val="Odstavecseseznamem"/>
        <w:numPr>
          <w:ilvl w:val="1"/>
          <w:numId w:val="17"/>
        </w:numPr>
        <w:spacing w:before="0" w:after="120" w:line="240" w:lineRule="auto"/>
        <w:ind w:left="1134" w:hanging="425"/>
        <w:jc w:val="both"/>
        <w:rPr>
          <w:rFonts w:eastAsia="Arial" w:cs="Arial"/>
          <w:i/>
          <w:color w:val="000000"/>
          <w:spacing w:val="-2"/>
          <w:lang w:eastAsia="cs-CZ"/>
        </w:rPr>
      </w:pPr>
      <w:r>
        <w:rPr>
          <w:rFonts w:eastAsia="Arial" w:cs="Arial"/>
          <w:i/>
          <w:color w:val="000000"/>
          <w:spacing w:val="-2"/>
          <w:lang w:eastAsia="cs-CZ"/>
        </w:rPr>
        <w:t>D</w:t>
      </w:r>
      <w:r w:rsidR="002A72A7" w:rsidRPr="00DD2DAB">
        <w:rPr>
          <w:rFonts w:eastAsia="Arial" w:cs="Arial"/>
          <w:i/>
          <w:color w:val="000000"/>
          <w:spacing w:val="-2"/>
          <w:lang w:eastAsia="cs-CZ"/>
        </w:rPr>
        <w:t>ále</w:t>
      </w:r>
      <w:r>
        <w:rPr>
          <w:rFonts w:eastAsia="Arial" w:cs="Arial"/>
          <w:i/>
          <w:color w:val="000000"/>
          <w:spacing w:val="-2"/>
          <w:lang w:eastAsia="cs-CZ"/>
        </w:rPr>
        <w:t xml:space="preserve"> </w:t>
      </w:r>
      <w:r w:rsidR="002A72A7" w:rsidRPr="00DD2DAB">
        <w:rPr>
          <w:rFonts w:eastAsia="Arial" w:cs="Arial"/>
          <w:i/>
          <w:color w:val="000000"/>
          <w:spacing w:val="-2"/>
          <w:lang w:eastAsia="cs-CZ"/>
        </w:rPr>
        <w:t>budou konzultovány možnosti sdílení návrhů projektů.</w:t>
      </w:r>
    </w:p>
    <w:sectPr w:rsidR="00584532" w:rsidRPr="0021133A" w:rsidSect="00DB6122">
      <w:headerReference w:type="default" r:id="rId10"/>
      <w:footerReference w:type="default" r:id="rId11"/>
      <w:pgSz w:w="11906" w:h="16838"/>
      <w:pgMar w:top="1134" w:right="1134" w:bottom="1418" w:left="1134" w:header="243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CF170" w14:textId="77777777" w:rsidR="009B64F5" w:rsidRDefault="009B64F5" w:rsidP="00335AC1">
      <w:r>
        <w:separator/>
      </w:r>
    </w:p>
  </w:endnote>
  <w:endnote w:type="continuationSeparator" w:id="0">
    <w:p w14:paraId="2755BB22" w14:textId="77777777" w:rsidR="009B64F5" w:rsidRDefault="009B64F5" w:rsidP="0033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86999" w14:textId="77777777" w:rsidR="00012452" w:rsidRPr="001071ED" w:rsidRDefault="00C1594D" w:rsidP="00335AC1">
    <w:pPr>
      <w:pStyle w:val="Zpat1"/>
    </w:pPr>
    <w:r w:rsidRPr="001071ED">
      <w:rPr>
        <w:noProof/>
        <w:lang w:eastAsia="cs-CZ"/>
      </w:rPr>
      <w:drawing>
        <wp:anchor distT="0" distB="0" distL="114300" distR="114300" simplePos="0" relativeHeight="251664384" behindDoc="1" locked="1" layoutInCell="0" allowOverlap="0" wp14:anchorId="3E629DBF" wp14:editId="684A79AF">
          <wp:simplePos x="717630" y="9062977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E4665" w14:textId="77777777" w:rsidR="009B64F5" w:rsidRDefault="009B64F5" w:rsidP="00335AC1">
      <w:r>
        <w:separator/>
      </w:r>
    </w:p>
  </w:footnote>
  <w:footnote w:type="continuationSeparator" w:id="0">
    <w:p w14:paraId="3281C8BD" w14:textId="77777777" w:rsidR="009B64F5" w:rsidRDefault="009B64F5" w:rsidP="00335AC1">
      <w:r>
        <w:continuationSeparator/>
      </w:r>
    </w:p>
  </w:footnote>
  <w:footnote w:id="1">
    <w:p w14:paraId="0C2B0B7D" w14:textId="77777777" w:rsidR="00DB6122" w:rsidRDefault="00DB61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B6122">
        <w:t xml:space="preserve">TA ČR považuje konstatování </w:t>
      </w:r>
      <w:r>
        <w:t xml:space="preserve">o </w:t>
      </w:r>
      <w:r w:rsidR="00455F53">
        <w:t xml:space="preserve">vzájemné </w:t>
      </w:r>
      <w:r>
        <w:t>komplementaritě</w:t>
      </w:r>
      <w:r w:rsidRPr="00DB6122">
        <w:t xml:space="preserve"> program</w:t>
      </w:r>
      <w:r w:rsidR="00455F53">
        <w:t>ů</w:t>
      </w:r>
      <w:r w:rsidRPr="00DB6122">
        <w:t xml:space="preserve"> OMEGA</w:t>
      </w:r>
      <w:r>
        <w:t xml:space="preserve"> a NAKI </w:t>
      </w:r>
      <w:r w:rsidR="00455F53" w:rsidRPr="00DB6122">
        <w:t>za platné i pro program ÉTA</w:t>
      </w:r>
      <w:r w:rsidR="00455F53">
        <w:t xml:space="preserve">: </w:t>
      </w:r>
      <w:r>
        <w:t>„Cíle předkládaného programu tak budou zcela komplementární k programu NAKI a oba dva tyto programy budou společně pokrývat celou oblast aplikovaného společenskovědního výzkumu a vývoje reagujícího na potřeby socioekonomického rozvoje české společnosti.“</w:t>
      </w:r>
      <w:r w:rsidR="00455F53">
        <w:t>(</w:t>
      </w:r>
      <w:proofErr w:type="gramStart"/>
      <w:r w:rsidR="00455F53">
        <w:t>viz.</w:t>
      </w:r>
      <w:proofErr w:type="gramEnd"/>
      <w:r w:rsidR="00455F53">
        <w:t xml:space="preserve"> Program OMEGA)</w:t>
      </w:r>
    </w:p>
  </w:footnote>
  <w:footnote w:id="2">
    <w:p w14:paraId="6A6476E0" w14:textId="77777777" w:rsidR="00584532" w:rsidRDefault="0058453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8E59A4">
          <w:rPr>
            <w:rStyle w:val="Hypertextovodkaz"/>
          </w:rPr>
          <w:t>http://www.vyzkum.cz/FrontClanek.aspx?idsekce=766330&amp;ad=1&amp;attid=769054</w:t>
        </w:r>
      </w:hyperlink>
      <w:r>
        <w:t xml:space="preserve"> (poslední přístup </w:t>
      </w:r>
      <w:proofErr w:type="gramStart"/>
      <w:r>
        <w:t>18.5.2016</w:t>
      </w:r>
      <w:proofErr w:type="gramEnd"/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2734C" w14:textId="77777777" w:rsidR="006500EC" w:rsidRPr="00335AC1" w:rsidRDefault="00632AA8" w:rsidP="00335AC1">
    <w:pPr>
      <w:pStyle w:val="Zhlav"/>
      <w:rPr>
        <w:sz w:val="20"/>
      </w:rPr>
    </w:pPr>
    <w:r w:rsidRPr="00335AC1">
      <w:rPr>
        <w:noProof/>
        <w:sz w:val="20"/>
        <w:lang w:eastAsia="cs-CZ"/>
      </w:rPr>
      <w:drawing>
        <wp:anchor distT="0" distB="0" distL="114300" distR="114300" simplePos="0" relativeHeight="251663360" behindDoc="1" locked="1" layoutInCell="0" allowOverlap="0" wp14:anchorId="5A4B3556" wp14:editId="124A105E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6C3"/>
    <w:multiLevelType w:val="multilevel"/>
    <w:tmpl w:val="F546203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">
    <w:nsid w:val="11034E1B"/>
    <w:multiLevelType w:val="multilevel"/>
    <w:tmpl w:val="62282940"/>
    <w:lvl w:ilvl="0">
      <w:start w:val="2"/>
      <w:numFmt w:val="bullet"/>
      <w:lvlText w:val="-"/>
      <w:lvlJc w:val="left"/>
      <w:pPr>
        <w:ind w:left="1069" w:firstLine="70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89" w:firstLine="1429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09" w:firstLine="2149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29" w:firstLine="2869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49" w:firstLine="3589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69" w:firstLine="4309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89" w:firstLine="5029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09" w:firstLine="5749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29" w:firstLine="6469"/>
      </w:pPr>
      <w:rPr>
        <w:rFonts w:ascii="Arial" w:eastAsia="Arial" w:hAnsi="Arial" w:cs="Arial"/>
        <w:vertAlign w:val="baseline"/>
      </w:rPr>
    </w:lvl>
  </w:abstractNum>
  <w:abstractNum w:abstractNumId="2">
    <w:nsid w:val="19C37904"/>
    <w:multiLevelType w:val="multilevel"/>
    <w:tmpl w:val="D9145256"/>
    <w:lvl w:ilvl="0">
      <w:start w:val="2"/>
      <w:numFmt w:val="bullet"/>
      <w:lvlText w:val="-"/>
      <w:lvlJc w:val="left"/>
      <w:pPr>
        <w:ind w:left="1069" w:firstLine="70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89" w:firstLine="1429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09" w:firstLine="2149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29" w:firstLine="2869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49" w:firstLine="3589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69" w:firstLine="4309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89" w:firstLine="5029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09" w:firstLine="5749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29" w:firstLine="6469"/>
      </w:pPr>
      <w:rPr>
        <w:rFonts w:ascii="Arial" w:eastAsia="Arial" w:hAnsi="Arial" w:cs="Arial"/>
        <w:vertAlign w:val="baseline"/>
      </w:rPr>
    </w:lvl>
  </w:abstractNum>
  <w:abstractNum w:abstractNumId="3">
    <w:nsid w:val="1A741214"/>
    <w:multiLevelType w:val="multilevel"/>
    <w:tmpl w:val="544E995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4">
    <w:nsid w:val="1CF22D2E"/>
    <w:multiLevelType w:val="multilevel"/>
    <w:tmpl w:val="049E6ABA"/>
    <w:lvl w:ilvl="0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  <w:vertAlign w:val="baseline"/>
      </w:rPr>
    </w:lvl>
  </w:abstractNum>
  <w:abstractNum w:abstractNumId="5">
    <w:nsid w:val="1DB73C63"/>
    <w:multiLevelType w:val="hybridMultilevel"/>
    <w:tmpl w:val="B58C6330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220E33CE"/>
    <w:multiLevelType w:val="hybridMultilevel"/>
    <w:tmpl w:val="4726EEB0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8090019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81B4660"/>
    <w:multiLevelType w:val="multilevel"/>
    <w:tmpl w:val="03D455C2"/>
    <w:lvl w:ilvl="0">
      <w:start w:val="1"/>
      <w:numFmt w:val="bullet"/>
      <w:lvlText w:val="●"/>
      <w:lvlJc w:val="left"/>
      <w:pPr>
        <w:ind w:left="2912" w:firstLine="2552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3632" w:firstLine="3272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4352" w:firstLine="3992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5072" w:firstLine="4712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5792" w:firstLine="5432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6512" w:firstLine="6152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7232" w:firstLine="6872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7952" w:firstLine="7592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8672" w:firstLine="8312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8">
    <w:nsid w:val="2A763DFE"/>
    <w:multiLevelType w:val="hybridMultilevel"/>
    <w:tmpl w:val="18525030"/>
    <w:lvl w:ilvl="0" w:tplc="0809000F">
      <w:start w:val="1"/>
      <w:numFmt w:val="decimal"/>
      <w:lvlText w:val="%1."/>
      <w:lvlJc w:val="left"/>
      <w:pPr>
        <w:ind w:left="1428" w:hanging="360"/>
      </w:p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B761B20"/>
    <w:multiLevelType w:val="hybridMultilevel"/>
    <w:tmpl w:val="72FC97B2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FCF4B186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32800ABF"/>
    <w:multiLevelType w:val="multilevel"/>
    <w:tmpl w:val="C0FE50CA"/>
    <w:lvl w:ilvl="0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60" w:firstLine="7200"/>
      </w:pPr>
      <w:rPr>
        <w:rFonts w:ascii="Arial" w:eastAsia="Arial" w:hAnsi="Arial" w:cs="Arial"/>
        <w:vertAlign w:val="baseline"/>
      </w:rPr>
    </w:lvl>
  </w:abstractNum>
  <w:abstractNum w:abstractNumId="11">
    <w:nsid w:val="34F435FB"/>
    <w:multiLevelType w:val="multilevel"/>
    <w:tmpl w:val="53184AD4"/>
    <w:lvl w:ilvl="0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8640" w:firstLine="828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2">
    <w:nsid w:val="3C8F7552"/>
    <w:multiLevelType w:val="multilevel"/>
    <w:tmpl w:val="230AB0CE"/>
    <w:lvl w:ilvl="0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8640" w:firstLine="828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3">
    <w:nsid w:val="61937DC3"/>
    <w:multiLevelType w:val="multilevel"/>
    <w:tmpl w:val="086A296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4">
    <w:nsid w:val="62B04CCD"/>
    <w:multiLevelType w:val="multilevel"/>
    <w:tmpl w:val="46B89792"/>
    <w:lvl w:ilvl="0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8640" w:firstLine="828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5">
    <w:nsid w:val="76225738"/>
    <w:multiLevelType w:val="hybridMultilevel"/>
    <w:tmpl w:val="E0FA83AE"/>
    <w:lvl w:ilvl="0" w:tplc="52D04CDA">
      <w:start w:val="1"/>
      <w:numFmt w:val="decimal"/>
      <w:pStyle w:val="slovn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2320D"/>
    <w:multiLevelType w:val="hybridMultilevel"/>
    <w:tmpl w:val="A22280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3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12"/>
  </w:num>
  <w:num w:numId="10">
    <w:abstractNumId w:val="10"/>
  </w:num>
  <w:num w:numId="11">
    <w:abstractNumId w:val="14"/>
  </w:num>
  <w:num w:numId="12">
    <w:abstractNumId w:val="16"/>
  </w:num>
  <w:num w:numId="13">
    <w:abstractNumId w:val="15"/>
  </w:num>
  <w:num w:numId="14">
    <w:abstractNumId w:val="9"/>
  </w:num>
  <w:num w:numId="15">
    <w:abstractNumId w:val="5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0DAD"/>
    <w:rsid w:val="000014DE"/>
    <w:rsid w:val="00003DCD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6C55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34C2"/>
    <w:rsid w:val="000A58D1"/>
    <w:rsid w:val="000B059D"/>
    <w:rsid w:val="000B531A"/>
    <w:rsid w:val="000B662F"/>
    <w:rsid w:val="000C0CFC"/>
    <w:rsid w:val="000C1AA4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53CD2"/>
    <w:rsid w:val="0016245F"/>
    <w:rsid w:val="00162D43"/>
    <w:rsid w:val="001726F0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094D"/>
    <w:rsid w:val="001E0AFB"/>
    <w:rsid w:val="001E44B0"/>
    <w:rsid w:val="0020118C"/>
    <w:rsid w:val="00203603"/>
    <w:rsid w:val="002061C3"/>
    <w:rsid w:val="002063AB"/>
    <w:rsid w:val="0021133A"/>
    <w:rsid w:val="00223727"/>
    <w:rsid w:val="002250BC"/>
    <w:rsid w:val="00226BA9"/>
    <w:rsid w:val="00227E40"/>
    <w:rsid w:val="002314B8"/>
    <w:rsid w:val="0024205F"/>
    <w:rsid w:val="002420F1"/>
    <w:rsid w:val="0024500F"/>
    <w:rsid w:val="002458FB"/>
    <w:rsid w:val="00251BA0"/>
    <w:rsid w:val="002528A9"/>
    <w:rsid w:val="00262A0E"/>
    <w:rsid w:val="00265074"/>
    <w:rsid w:val="002814BA"/>
    <w:rsid w:val="00284AED"/>
    <w:rsid w:val="00290C6A"/>
    <w:rsid w:val="00292016"/>
    <w:rsid w:val="002A265B"/>
    <w:rsid w:val="002A3C3C"/>
    <w:rsid w:val="002A4D20"/>
    <w:rsid w:val="002A4E48"/>
    <w:rsid w:val="002A72A7"/>
    <w:rsid w:val="002B06A9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054E7"/>
    <w:rsid w:val="0031084E"/>
    <w:rsid w:val="003123FB"/>
    <w:rsid w:val="0032159A"/>
    <w:rsid w:val="00324D0B"/>
    <w:rsid w:val="00324EE2"/>
    <w:rsid w:val="00326735"/>
    <w:rsid w:val="00327E8F"/>
    <w:rsid w:val="00330686"/>
    <w:rsid w:val="00335AC1"/>
    <w:rsid w:val="00336464"/>
    <w:rsid w:val="00336DCA"/>
    <w:rsid w:val="0035518C"/>
    <w:rsid w:val="00361C40"/>
    <w:rsid w:val="003678D6"/>
    <w:rsid w:val="00367BB7"/>
    <w:rsid w:val="00372235"/>
    <w:rsid w:val="00376583"/>
    <w:rsid w:val="00380EE4"/>
    <w:rsid w:val="0038343A"/>
    <w:rsid w:val="00384534"/>
    <w:rsid w:val="00391463"/>
    <w:rsid w:val="00391983"/>
    <w:rsid w:val="00392E8A"/>
    <w:rsid w:val="003A01B1"/>
    <w:rsid w:val="003A3605"/>
    <w:rsid w:val="003A3F6A"/>
    <w:rsid w:val="003C0ACD"/>
    <w:rsid w:val="003C40C2"/>
    <w:rsid w:val="003C5054"/>
    <w:rsid w:val="003D2A6F"/>
    <w:rsid w:val="003E25DF"/>
    <w:rsid w:val="003E27E6"/>
    <w:rsid w:val="003E2F50"/>
    <w:rsid w:val="003E4FC8"/>
    <w:rsid w:val="003F0F16"/>
    <w:rsid w:val="003F1CDE"/>
    <w:rsid w:val="0040553B"/>
    <w:rsid w:val="00407A1F"/>
    <w:rsid w:val="00411CC2"/>
    <w:rsid w:val="004212F4"/>
    <w:rsid w:val="00422CF8"/>
    <w:rsid w:val="0042584B"/>
    <w:rsid w:val="004277A4"/>
    <w:rsid w:val="00432CFD"/>
    <w:rsid w:val="00437B95"/>
    <w:rsid w:val="00440321"/>
    <w:rsid w:val="00442731"/>
    <w:rsid w:val="00455300"/>
    <w:rsid w:val="00455F53"/>
    <w:rsid w:val="004569AB"/>
    <w:rsid w:val="00457BEE"/>
    <w:rsid w:val="00463F3B"/>
    <w:rsid w:val="00465031"/>
    <w:rsid w:val="004723EC"/>
    <w:rsid w:val="00472F23"/>
    <w:rsid w:val="004850D8"/>
    <w:rsid w:val="00490889"/>
    <w:rsid w:val="00493AC0"/>
    <w:rsid w:val="004A56C5"/>
    <w:rsid w:val="004B23B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4F45"/>
    <w:rsid w:val="004E7604"/>
    <w:rsid w:val="004F5D0B"/>
    <w:rsid w:val="00502D03"/>
    <w:rsid w:val="005052DD"/>
    <w:rsid w:val="0050656F"/>
    <w:rsid w:val="00507B31"/>
    <w:rsid w:val="005256FB"/>
    <w:rsid w:val="0053056F"/>
    <w:rsid w:val="00530BAF"/>
    <w:rsid w:val="00532E33"/>
    <w:rsid w:val="00534BAB"/>
    <w:rsid w:val="005409C9"/>
    <w:rsid w:val="00543033"/>
    <w:rsid w:val="0054606E"/>
    <w:rsid w:val="0054708B"/>
    <w:rsid w:val="00550065"/>
    <w:rsid w:val="005511A4"/>
    <w:rsid w:val="0055201A"/>
    <w:rsid w:val="00552B5C"/>
    <w:rsid w:val="00557839"/>
    <w:rsid w:val="00560D39"/>
    <w:rsid w:val="0056483A"/>
    <w:rsid w:val="0056676D"/>
    <w:rsid w:val="0058056F"/>
    <w:rsid w:val="00584532"/>
    <w:rsid w:val="00586165"/>
    <w:rsid w:val="005863E6"/>
    <w:rsid w:val="00592D47"/>
    <w:rsid w:val="00597E11"/>
    <w:rsid w:val="005A09B4"/>
    <w:rsid w:val="005A1F37"/>
    <w:rsid w:val="005B2E39"/>
    <w:rsid w:val="005B6A47"/>
    <w:rsid w:val="005C5AE1"/>
    <w:rsid w:val="005D76FF"/>
    <w:rsid w:val="005E1382"/>
    <w:rsid w:val="005E297A"/>
    <w:rsid w:val="005E56A9"/>
    <w:rsid w:val="005E5A6D"/>
    <w:rsid w:val="005E6BB6"/>
    <w:rsid w:val="005F1B21"/>
    <w:rsid w:val="005F24CA"/>
    <w:rsid w:val="005F4E71"/>
    <w:rsid w:val="005F53E8"/>
    <w:rsid w:val="00606D02"/>
    <w:rsid w:val="006138D7"/>
    <w:rsid w:val="0061797D"/>
    <w:rsid w:val="00624040"/>
    <w:rsid w:val="00626A1E"/>
    <w:rsid w:val="00632AA8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5C36"/>
    <w:rsid w:val="0078651F"/>
    <w:rsid w:val="00787B57"/>
    <w:rsid w:val="007916D7"/>
    <w:rsid w:val="00793C0F"/>
    <w:rsid w:val="007A2064"/>
    <w:rsid w:val="007A423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0672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04E4C"/>
    <w:rsid w:val="00815671"/>
    <w:rsid w:val="00821431"/>
    <w:rsid w:val="00822DAD"/>
    <w:rsid w:val="00825E8E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0031"/>
    <w:rsid w:val="0086511F"/>
    <w:rsid w:val="00874EDA"/>
    <w:rsid w:val="00875F25"/>
    <w:rsid w:val="0088160D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14B2"/>
    <w:rsid w:val="00917809"/>
    <w:rsid w:val="00917DE4"/>
    <w:rsid w:val="009249F1"/>
    <w:rsid w:val="00927B66"/>
    <w:rsid w:val="00930B37"/>
    <w:rsid w:val="009324DA"/>
    <w:rsid w:val="00943E90"/>
    <w:rsid w:val="00956FC7"/>
    <w:rsid w:val="009626D7"/>
    <w:rsid w:val="00970DDF"/>
    <w:rsid w:val="00981AE9"/>
    <w:rsid w:val="00986A21"/>
    <w:rsid w:val="009904C6"/>
    <w:rsid w:val="00991362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64F5"/>
    <w:rsid w:val="009B76DC"/>
    <w:rsid w:val="009C1B89"/>
    <w:rsid w:val="009C1B91"/>
    <w:rsid w:val="009C6049"/>
    <w:rsid w:val="009D122C"/>
    <w:rsid w:val="009F3DA9"/>
    <w:rsid w:val="009F5754"/>
    <w:rsid w:val="00A0197F"/>
    <w:rsid w:val="00A06EEA"/>
    <w:rsid w:val="00A15E3B"/>
    <w:rsid w:val="00A17702"/>
    <w:rsid w:val="00A30550"/>
    <w:rsid w:val="00A31C35"/>
    <w:rsid w:val="00A3343E"/>
    <w:rsid w:val="00A42042"/>
    <w:rsid w:val="00A55765"/>
    <w:rsid w:val="00A55D84"/>
    <w:rsid w:val="00A661D4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5E91"/>
    <w:rsid w:val="00AB6136"/>
    <w:rsid w:val="00AB73C7"/>
    <w:rsid w:val="00AD228B"/>
    <w:rsid w:val="00AD73CF"/>
    <w:rsid w:val="00AE1C69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54604"/>
    <w:rsid w:val="00B64745"/>
    <w:rsid w:val="00B710D2"/>
    <w:rsid w:val="00B7492B"/>
    <w:rsid w:val="00B7596A"/>
    <w:rsid w:val="00B80543"/>
    <w:rsid w:val="00B80E94"/>
    <w:rsid w:val="00B811BC"/>
    <w:rsid w:val="00B81376"/>
    <w:rsid w:val="00B815A0"/>
    <w:rsid w:val="00B83E45"/>
    <w:rsid w:val="00B8462D"/>
    <w:rsid w:val="00B84EE1"/>
    <w:rsid w:val="00B914C7"/>
    <w:rsid w:val="00B91AB8"/>
    <w:rsid w:val="00B94A03"/>
    <w:rsid w:val="00B94FBF"/>
    <w:rsid w:val="00B96F98"/>
    <w:rsid w:val="00BA4B00"/>
    <w:rsid w:val="00BA5789"/>
    <w:rsid w:val="00BA712D"/>
    <w:rsid w:val="00BB1925"/>
    <w:rsid w:val="00BB33A7"/>
    <w:rsid w:val="00BC4014"/>
    <w:rsid w:val="00BC5958"/>
    <w:rsid w:val="00BC6731"/>
    <w:rsid w:val="00BD3E62"/>
    <w:rsid w:val="00BE2BEA"/>
    <w:rsid w:val="00BE44EE"/>
    <w:rsid w:val="00BE6F83"/>
    <w:rsid w:val="00BF048D"/>
    <w:rsid w:val="00BF08F6"/>
    <w:rsid w:val="00BF5566"/>
    <w:rsid w:val="00BF7673"/>
    <w:rsid w:val="00C05241"/>
    <w:rsid w:val="00C0554A"/>
    <w:rsid w:val="00C06510"/>
    <w:rsid w:val="00C14C7B"/>
    <w:rsid w:val="00C1594D"/>
    <w:rsid w:val="00C273E0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956F4"/>
    <w:rsid w:val="00CA765A"/>
    <w:rsid w:val="00CA7926"/>
    <w:rsid w:val="00CB3264"/>
    <w:rsid w:val="00CB32AF"/>
    <w:rsid w:val="00CB5812"/>
    <w:rsid w:val="00CB6AAB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D6863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06788"/>
    <w:rsid w:val="00D10C34"/>
    <w:rsid w:val="00D14A79"/>
    <w:rsid w:val="00D14B4B"/>
    <w:rsid w:val="00D159E9"/>
    <w:rsid w:val="00D1709B"/>
    <w:rsid w:val="00D23BB6"/>
    <w:rsid w:val="00D32D86"/>
    <w:rsid w:val="00D33BC6"/>
    <w:rsid w:val="00D36655"/>
    <w:rsid w:val="00D372BA"/>
    <w:rsid w:val="00D37E95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6122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2DAB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EE5"/>
    <w:rsid w:val="00E0534F"/>
    <w:rsid w:val="00E11B4E"/>
    <w:rsid w:val="00E21898"/>
    <w:rsid w:val="00E30A04"/>
    <w:rsid w:val="00E30F38"/>
    <w:rsid w:val="00E35EC1"/>
    <w:rsid w:val="00E406FB"/>
    <w:rsid w:val="00E425D0"/>
    <w:rsid w:val="00E45196"/>
    <w:rsid w:val="00E47F46"/>
    <w:rsid w:val="00E54FD2"/>
    <w:rsid w:val="00E56B28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396D"/>
    <w:rsid w:val="00EA58AB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4607"/>
    <w:rsid w:val="00EE5C88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B7795"/>
    <w:rsid w:val="00FC2424"/>
    <w:rsid w:val="00FC7E62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B5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AC1"/>
    <w:pPr>
      <w:spacing w:before="120" w:after="0"/>
    </w:pPr>
    <w:rPr>
      <w:rFonts w:asciiTheme="majorHAnsi" w:hAnsiTheme="maj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paragraph" w:customStyle="1" w:styleId="slovn">
    <w:name w:val="číslování"/>
    <w:basedOn w:val="Normln"/>
    <w:link w:val="slovnChar"/>
    <w:qFormat/>
    <w:rsid w:val="001E094D"/>
    <w:pPr>
      <w:numPr>
        <w:numId w:val="13"/>
      </w:numPr>
      <w:spacing w:before="240" w:after="120" w:line="240" w:lineRule="auto"/>
      <w:ind w:left="425" w:hanging="425"/>
      <w:jc w:val="both"/>
    </w:pPr>
    <w:rPr>
      <w:rFonts w:eastAsia="Cambria" w:cs="Cambria"/>
      <w:b/>
      <w:color w:val="00000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73E0"/>
    <w:rPr>
      <w:color w:val="0000FF" w:themeColor="hyperlink"/>
      <w:u w:val="single"/>
    </w:rPr>
  </w:style>
  <w:style w:type="character" w:customStyle="1" w:styleId="slovnChar">
    <w:name w:val="číslování Char"/>
    <w:basedOn w:val="Standardnpsmoodstavce"/>
    <w:link w:val="slovn"/>
    <w:rsid w:val="001E094D"/>
    <w:rPr>
      <w:rFonts w:asciiTheme="majorHAnsi" w:eastAsia="Cambria" w:hAnsiTheme="majorHAnsi" w:cs="Cambria"/>
      <w:b/>
      <w:color w:val="00000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B6122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6122"/>
    <w:rPr>
      <w:rFonts w:asciiTheme="majorHAnsi" w:hAnsiTheme="majorHAns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B612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E4F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B6A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A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AB"/>
    <w:rPr>
      <w:rFonts w:asciiTheme="majorHAnsi" w:hAnsiTheme="maj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AC1"/>
    <w:pPr>
      <w:spacing w:before="120" w:after="0"/>
    </w:pPr>
    <w:rPr>
      <w:rFonts w:asciiTheme="majorHAnsi" w:hAnsiTheme="maj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paragraph" w:customStyle="1" w:styleId="slovn">
    <w:name w:val="číslování"/>
    <w:basedOn w:val="Normln"/>
    <w:link w:val="slovnChar"/>
    <w:qFormat/>
    <w:rsid w:val="001E094D"/>
    <w:pPr>
      <w:numPr>
        <w:numId w:val="13"/>
      </w:numPr>
      <w:spacing w:before="240" w:after="120" w:line="240" w:lineRule="auto"/>
      <w:ind w:left="425" w:hanging="425"/>
      <w:jc w:val="both"/>
    </w:pPr>
    <w:rPr>
      <w:rFonts w:eastAsia="Cambria" w:cs="Cambria"/>
      <w:b/>
      <w:color w:val="00000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73E0"/>
    <w:rPr>
      <w:color w:val="0000FF" w:themeColor="hyperlink"/>
      <w:u w:val="single"/>
    </w:rPr>
  </w:style>
  <w:style w:type="character" w:customStyle="1" w:styleId="slovnChar">
    <w:name w:val="číslování Char"/>
    <w:basedOn w:val="Standardnpsmoodstavce"/>
    <w:link w:val="slovn"/>
    <w:rsid w:val="001E094D"/>
    <w:rPr>
      <w:rFonts w:asciiTheme="majorHAnsi" w:eastAsia="Cambria" w:hAnsiTheme="majorHAnsi" w:cs="Cambria"/>
      <w:b/>
      <w:color w:val="00000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B6122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6122"/>
    <w:rPr>
      <w:rFonts w:asciiTheme="majorHAnsi" w:hAnsiTheme="majorHAns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B612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E4F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B6A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A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AB"/>
    <w:rPr>
      <w:rFonts w:asciiTheme="majorHAnsi" w:hAnsiTheme="maj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0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yzkum.cz/FrontClanek.aspx?idsekce=766330&amp;ad=1&amp;attid=76905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71F2-8511-4288-8062-C32B1636E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1566</Words>
  <Characters>9240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Markéta Kühnelová</cp:lastModifiedBy>
  <cp:revision>9</cp:revision>
  <cp:lastPrinted>2016-08-10T06:51:00Z</cp:lastPrinted>
  <dcterms:created xsi:type="dcterms:W3CDTF">2016-09-26T09:22:00Z</dcterms:created>
  <dcterms:modified xsi:type="dcterms:W3CDTF">2016-10-19T15:23:00Z</dcterms:modified>
</cp:coreProperties>
</file>